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42E" w14:textId="1710137D" w:rsidR="008F3945" w:rsidRDefault="008F3945" w:rsidP="0039757D">
      <w:pPr>
        <w:pStyle w:val="Heading1"/>
      </w:pPr>
      <w:bookmarkStart w:id="0" w:name="_Toc99031488"/>
      <w:r w:rsidRPr="001B086D">
        <w:t>References</w:t>
      </w:r>
      <w:bookmarkEnd w:id="0"/>
    </w:p>
    <w:p w14:paraId="5F87AC48" w14:textId="39B97761" w:rsidR="00A46BD7" w:rsidRPr="00A46BD7" w:rsidRDefault="00A46BD7" w:rsidP="00A46BD7">
      <w:pPr>
        <w:pStyle w:val="EndNoteBibliography"/>
      </w:pPr>
      <w:r w:rsidRPr="00A46BD7">
        <w:t>1.</w:t>
      </w:r>
      <w:r w:rsidRPr="00A46BD7">
        <w:tab/>
        <w:t>NHS England &amp; NHS Improvement. Integrated Urgent Care Aggregate Data Collection July 2021 (provisional) NHS England &amp; NHS Improvement; 2021 [24/03/2022]. Available from: h</w:t>
      </w:r>
      <w:r w:rsidRPr="003648AA">
        <w:t>ttps://www.england.nhs.uk/statistics/wp-content/uploads/sites/2/2021/08/Statistical-Note-Provisional-IUCADC-July-2021.pdf.</w:t>
      </w:r>
      <w:r w:rsidRPr="00A46BD7">
        <w:t xml:space="preserve"> Access date 24/03/2022</w:t>
      </w:r>
    </w:p>
    <w:p w14:paraId="420ACD52" w14:textId="721AED40" w:rsidR="00A46BD7" w:rsidRPr="00A46BD7" w:rsidRDefault="00A46BD7" w:rsidP="00A46BD7">
      <w:pPr>
        <w:pStyle w:val="EndNoteBibliography"/>
      </w:pPr>
      <w:r w:rsidRPr="00A46BD7">
        <w:t>2.</w:t>
      </w:r>
      <w:r w:rsidRPr="00A46BD7">
        <w:tab/>
        <w:t>NHS Digital. NHS 111 online hits over 30 million users during Covid-19 pandemic 2021 [24/03/2022]. Available from: h</w:t>
      </w:r>
      <w:r w:rsidRPr="003648AA">
        <w:t>ttps://digital.nhs.uk/news/2020/nhs-111-online-hits-over-30-million-users-during-covid-19-pandemic.</w:t>
      </w:r>
      <w:r w:rsidRPr="00A46BD7">
        <w:t xml:space="preserve"> Access date 24/03/2022</w:t>
      </w:r>
    </w:p>
    <w:p w14:paraId="4AC15FA8" w14:textId="254C815E" w:rsidR="00A46BD7" w:rsidRPr="00A46BD7" w:rsidRDefault="00A46BD7" w:rsidP="00A46BD7">
      <w:pPr>
        <w:pStyle w:val="EndNoteBibliography"/>
      </w:pPr>
      <w:r w:rsidRPr="00A46BD7">
        <w:t>3.</w:t>
      </w:r>
      <w:r w:rsidRPr="00A46BD7">
        <w:tab/>
        <w:t>The Guardian. Use NHS 111 online service to protect busy A&amp;Es, says health chief The Guardian: The Guardian;  [24/03/2022]. Available from: h</w:t>
      </w:r>
      <w:r w:rsidRPr="003648AA">
        <w:t>ttps://www.theguardian.com/world/2021/nov/01/use-nhs-111-online-service-to-protect-busy-aes-says-health-chief.</w:t>
      </w:r>
      <w:r w:rsidRPr="00A46BD7">
        <w:t xml:space="preserve"> Access date 24/03/2022</w:t>
      </w:r>
    </w:p>
    <w:p w14:paraId="41936DAD" w14:textId="77777777" w:rsidR="00A46BD7" w:rsidRPr="00A46BD7" w:rsidRDefault="00A46BD7" w:rsidP="00A46BD7">
      <w:pPr>
        <w:pStyle w:val="EndNoteBibliography"/>
      </w:pPr>
      <w:r w:rsidRPr="00A46BD7">
        <w:t>4.</w:t>
      </w:r>
      <w:r w:rsidRPr="00A46BD7">
        <w:tab/>
        <w:t>Bisson LJ, Komm JT, Bernas GA, Fineberg MS, Marzo JM, Rauh MA, et al. How Accurate Are Patients at Diagnosing the Cause of Their Knee Pain With the Help of a Web-based Symptom Checker? Orthop J Sports Med. 2016;4(2):2325967116630286.</w:t>
      </w:r>
    </w:p>
    <w:p w14:paraId="61872CD9" w14:textId="77777777" w:rsidR="00A46BD7" w:rsidRPr="00A46BD7" w:rsidRDefault="00A46BD7" w:rsidP="00A46BD7">
      <w:pPr>
        <w:pStyle w:val="EndNoteBibliography"/>
      </w:pPr>
      <w:r w:rsidRPr="00A46BD7">
        <w:t>5.</w:t>
      </w:r>
      <w:r w:rsidRPr="00A46BD7">
        <w:tab/>
        <w:t>Sole ML, Stuart PL, Deichen M. Web-Based Triage in a College Health Setting. Journal of American College Health. 2006;54(5):289-94.</w:t>
      </w:r>
    </w:p>
    <w:p w14:paraId="3027B787" w14:textId="77777777" w:rsidR="00A46BD7" w:rsidRPr="00A46BD7" w:rsidRDefault="00A46BD7" w:rsidP="00A46BD7">
      <w:pPr>
        <w:pStyle w:val="EndNoteBibliography"/>
      </w:pPr>
      <w:r w:rsidRPr="00A46BD7">
        <w:t>6.</w:t>
      </w:r>
      <w:r w:rsidRPr="00A46BD7">
        <w:tab/>
        <w:t>Powley L, McIlroy G, Simons G, Raza K. Are online symptoms checkers useful for patients with inflammatory arthritis? BMC Musculoskeletal Disorders. 2016;17(1):362.</w:t>
      </w:r>
    </w:p>
    <w:p w14:paraId="20114846" w14:textId="6DAB2C41" w:rsidR="00A46BD7" w:rsidRPr="00A46BD7" w:rsidRDefault="00A46BD7" w:rsidP="00A46BD7">
      <w:pPr>
        <w:pStyle w:val="EndNoteBibliography"/>
      </w:pPr>
      <w:r w:rsidRPr="00A46BD7">
        <w:t>7.</w:t>
      </w:r>
      <w:r w:rsidRPr="00A46BD7">
        <w:tab/>
        <w:t xml:space="preserve">Anhang Price R, Fagbuyi D, Harris R, </w:t>
      </w:r>
      <w:r w:rsidR="00D124DB">
        <w:t>Hanfling D, Place F, Taylor T and Kellermann A</w:t>
      </w:r>
      <w:r w:rsidRPr="00A46BD7">
        <w:t>. Feasibility of web-based self-triage by parents of children with influenza-like illness: a cautionary tale. JAMA Pediatrics. 2013;167(2):112-8.</w:t>
      </w:r>
    </w:p>
    <w:p w14:paraId="0C36254B" w14:textId="77777777" w:rsidR="00A46BD7" w:rsidRPr="00A46BD7" w:rsidRDefault="00A46BD7" w:rsidP="00A46BD7">
      <w:pPr>
        <w:pStyle w:val="EndNoteBibliography"/>
      </w:pPr>
      <w:r w:rsidRPr="00A46BD7">
        <w:t>8.</w:t>
      </w:r>
      <w:r w:rsidRPr="00A46BD7">
        <w:tab/>
        <w:t>Semigran HL, Linder JA, Gidengil C, Mehrotra A. Evaluation of symptom checkers for self diagnosis and triage: audit study. BMJ. 2015;351:h3480.</w:t>
      </w:r>
    </w:p>
    <w:p w14:paraId="70E899D3" w14:textId="77777777" w:rsidR="00A46BD7" w:rsidRPr="00A46BD7" w:rsidRDefault="00A46BD7" w:rsidP="00A46BD7">
      <w:pPr>
        <w:pStyle w:val="EndNoteBibliography"/>
      </w:pPr>
      <w:r w:rsidRPr="00A46BD7">
        <w:t>9.</w:t>
      </w:r>
      <w:r w:rsidRPr="00A46BD7">
        <w:tab/>
        <w:t>Poote AE, French DP, Dale J, Powell J. A study of automated self-assessment in a primary care student health centre setting. Journal of Telemedicine and Telecare. 2014;20(3):123-7.</w:t>
      </w:r>
    </w:p>
    <w:p w14:paraId="43AA3228" w14:textId="77777777" w:rsidR="00A46BD7" w:rsidRPr="00350BF0" w:rsidRDefault="00A46BD7" w:rsidP="00A46BD7">
      <w:pPr>
        <w:pStyle w:val="EndNoteBibliography"/>
        <w:rPr>
          <w:lang w:val="nl-NL"/>
        </w:rPr>
      </w:pPr>
      <w:r w:rsidRPr="00A46BD7">
        <w:t>10.</w:t>
      </w:r>
      <w:r w:rsidRPr="00A46BD7">
        <w:tab/>
        <w:t xml:space="preserve">Chambers D, Cantrell A, Johnson M, Preston L, Baxter SK, Booth A, et al. Digital and online symptom checkers and assessment services for urgent care to inform a new digital platform: a systematic review. </w:t>
      </w:r>
      <w:r w:rsidRPr="00350BF0">
        <w:rPr>
          <w:lang w:val="nl-NL"/>
        </w:rPr>
        <w:t>Health Serv Deliv Res. 2019;7:29.</w:t>
      </w:r>
    </w:p>
    <w:p w14:paraId="0DBB1CED" w14:textId="77777777" w:rsidR="00A46BD7" w:rsidRPr="00350BF0" w:rsidRDefault="00A46BD7" w:rsidP="00A46BD7">
      <w:pPr>
        <w:pStyle w:val="EndNoteBibliography"/>
        <w:rPr>
          <w:lang w:val="it-IT"/>
        </w:rPr>
      </w:pPr>
      <w:r w:rsidRPr="00350BF0">
        <w:rPr>
          <w:lang w:val="nl-NL"/>
        </w:rPr>
        <w:t>11.</w:t>
      </w:r>
      <w:r w:rsidRPr="00350BF0">
        <w:rPr>
          <w:lang w:val="nl-NL"/>
        </w:rPr>
        <w:tab/>
        <w:t xml:space="preserve">Nijland N, Cranen K, Boer H, van Gemert-Pijnen JEWC, Seydel ER. </w:t>
      </w:r>
      <w:r w:rsidRPr="00A46BD7">
        <w:t xml:space="preserve">Patient use and compliance with medical advice delivered by a web-based triage system in primary care. </w:t>
      </w:r>
      <w:r w:rsidRPr="00350BF0">
        <w:rPr>
          <w:lang w:val="it-IT"/>
        </w:rPr>
        <w:t>Journal of Telemedicine and Telecare. 2010;16(1):8-11.</w:t>
      </w:r>
    </w:p>
    <w:p w14:paraId="5AC1AE78" w14:textId="77777777" w:rsidR="00A46BD7" w:rsidRPr="00A46BD7" w:rsidRDefault="00A46BD7" w:rsidP="00A46BD7">
      <w:pPr>
        <w:pStyle w:val="EndNoteBibliography"/>
      </w:pPr>
      <w:r w:rsidRPr="00350BF0">
        <w:rPr>
          <w:lang w:val="it-IT"/>
        </w:rPr>
        <w:t>12.</w:t>
      </w:r>
      <w:r w:rsidRPr="00350BF0">
        <w:rPr>
          <w:lang w:val="it-IT"/>
        </w:rPr>
        <w:tab/>
        <w:t xml:space="preserve">Marco-Ruiz L, Bønes E, de la Asunción E, Gabarron E, Aviles-Solis JC, Lee E, et al. </w:t>
      </w:r>
      <w:r w:rsidRPr="00A46BD7">
        <w:t>Combining multivariate statistics and the think-aloud protocol to assess Human-Computer Interaction barriers in symptom checkers. Journal of Biomedical Informatics. 2017;74:104-22.</w:t>
      </w:r>
    </w:p>
    <w:p w14:paraId="1C1FDFDC" w14:textId="77777777" w:rsidR="00A46BD7" w:rsidRPr="00350BF0" w:rsidRDefault="00A46BD7" w:rsidP="00A46BD7">
      <w:pPr>
        <w:pStyle w:val="EndNoteBibliography"/>
        <w:rPr>
          <w:lang w:val="nl-NL"/>
        </w:rPr>
      </w:pPr>
      <w:r w:rsidRPr="00A46BD7">
        <w:t>13.</w:t>
      </w:r>
      <w:r w:rsidRPr="00A46BD7">
        <w:tab/>
        <w:t xml:space="preserve">Luger TM, Houston TK, Suls J. Older adult experience of online diagnosis: results from a scenario-based think-aloud protocol. </w:t>
      </w:r>
      <w:r w:rsidRPr="00350BF0">
        <w:rPr>
          <w:lang w:val="nl-NL"/>
        </w:rPr>
        <w:t>J Med Internet Res. 2014;16(1):e16.</w:t>
      </w:r>
    </w:p>
    <w:p w14:paraId="40428AC7" w14:textId="77777777" w:rsidR="00A46BD7" w:rsidRPr="00A46BD7" w:rsidRDefault="00A46BD7" w:rsidP="00A46BD7">
      <w:pPr>
        <w:pStyle w:val="EndNoteBibliography"/>
      </w:pPr>
      <w:r w:rsidRPr="00350BF0">
        <w:rPr>
          <w:lang w:val="nl-NL"/>
        </w:rPr>
        <w:t>14.</w:t>
      </w:r>
      <w:r w:rsidRPr="00350BF0">
        <w:rPr>
          <w:lang w:val="nl-NL"/>
        </w:rPr>
        <w:tab/>
        <w:t xml:space="preserve">Nijland N, van Gemert-Pijnen J, Boer H, Steehouder MF, Seydel ER. </w:t>
      </w:r>
      <w:r w:rsidRPr="00A46BD7">
        <w:t>Evaluation of internet-based technology for supporting self-care: problems encountered by patients and caregivers when using self-care applications. J Med Internet Res. 2008;10(2):e13.</w:t>
      </w:r>
    </w:p>
    <w:p w14:paraId="597FBCEB" w14:textId="77777777" w:rsidR="00A46BD7" w:rsidRPr="00A46BD7" w:rsidRDefault="00A46BD7" w:rsidP="00A46BD7">
      <w:pPr>
        <w:pStyle w:val="EndNoteBibliography"/>
      </w:pPr>
      <w:r w:rsidRPr="00A46BD7">
        <w:t>15.</w:t>
      </w:r>
      <w:r w:rsidRPr="00A46BD7">
        <w:tab/>
        <w:t>Mueller J, Jay C, Harper S, Davies A, Vega J, Todd C. Web Use for Symptom Appraisal of Physical Health Conditions: A Systematic Review. J Med Internet Res. 2017;19(6):e202.</w:t>
      </w:r>
    </w:p>
    <w:p w14:paraId="04B27751" w14:textId="77777777" w:rsidR="00A46BD7" w:rsidRPr="00A46BD7" w:rsidRDefault="00A46BD7" w:rsidP="00A46BD7">
      <w:pPr>
        <w:pStyle w:val="EndNoteBibliography"/>
      </w:pPr>
      <w:r w:rsidRPr="00A46BD7">
        <w:lastRenderedPageBreak/>
        <w:t>16.</w:t>
      </w:r>
      <w:r w:rsidRPr="00A46BD7">
        <w:tab/>
        <w:t>Eysenbach G, Powell J, Kuss O, Sa E-R. Empirical Studies Assessing the Quality of Health Information for Consumers on the World Wide WebA Systematic Review. JAMA. 2002;287(20):2691-700.</w:t>
      </w:r>
    </w:p>
    <w:p w14:paraId="4296343D" w14:textId="77777777" w:rsidR="00A46BD7" w:rsidRPr="00A46BD7" w:rsidRDefault="00A46BD7" w:rsidP="00A46BD7">
      <w:pPr>
        <w:pStyle w:val="EndNoteBibliography"/>
      </w:pPr>
      <w:r w:rsidRPr="00A46BD7">
        <w:t>17.</w:t>
      </w:r>
      <w:r w:rsidRPr="00A46BD7">
        <w:tab/>
        <w:t>Yamin CK, Emani S, Williams DH, Lipsitz SR, Karson AS, Wald JS, et al. The Digital Divide in Adoption and Use of a Personal Health Record. Archives of Internal Medicine. 2011;171(6):568-74.</w:t>
      </w:r>
    </w:p>
    <w:p w14:paraId="30A32E0F" w14:textId="77777777" w:rsidR="00A46BD7" w:rsidRPr="00A46BD7" w:rsidRDefault="00A46BD7" w:rsidP="00A46BD7">
      <w:pPr>
        <w:pStyle w:val="EndNoteBibliography"/>
      </w:pPr>
      <w:r w:rsidRPr="00A46BD7">
        <w:t>18.</w:t>
      </w:r>
      <w:r w:rsidRPr="00A46BD7">
        <w:tab/>
        <w:t>McCord SK, Frederiksen L, Campbell N. An accessibility assessment of selected Web</w:t>
      </w:r>
      <w:r w:rsidRPr="00A46BD7">
        <w:rPr>
          <w:rFonts w:ascii="Cambria Math" w:hAnsi="Cambria Math" w:cs="Cambria Math"/>
        </w:rPr>
        <w:t>‐</w:t>
      </w:r>
      <w:r w:rsidRPr="00A46BD7">
        <w:t>based health information resources. Library Hi Tech. 2002;20(2):188-98.</w:t>
      </w:r>
    </w:p>
    <w:p w14:paraId="0F997847" w14:textId="77777777" w:rsidR="00A46BD7" w:rsidRPr="00A46BD7" w:rsidRDefault="00A46BD7" w:rsidP="00A46BD7">
      <w:pPr>
        <w:pStyle w:val="EndNoteBibliography"/>
      </w:pPr>
      <w:r w:rsidRPr="00A46BD7">
        <w:t>19.</w:t>
      </w:r>
      <w:r w:rsidRPr="00A46BD7">
        <w:tab/>
        <w:t>Hargittai E, Hinnant A. Digital Inequality: Differences in Young Adults' Use of the Internet. Communication Research. 2008;35(5):602-21.</w:t>
      </w:r>
    </w:p>
    <w:p w14:paraId="34C8B700" w14:textId="77777777" w:rsidR="00A46BD7" w:rsidRPr="00A46BD7" w:rsidRDefault="00A46BD7" w:rsidP="00A46BD7">
      <w:pPr>
        <w:pStyle w:val="EndNoteBibliography"/>
      </w:pPr>
      <w:r w:rsidRPr="00A46BD7">
        <w:t>20.</w:t>
      </w:r>
      <w:r w:rsidRPr="00A46BD7">
        <w:tab/>
        <w:t>DiMaggio P, Hargittai E, Celeste C, Shafer S. Digital inequality: From unequal access to differentiated use.  Social Inequality: Russell Sage Foundation; 2004. p. 355-400.</w:t>
      </w:r>
    </w:p>
    <w:p w14:paraId="1BA42F2E" w14:textId="26C70B79" w:rsidR="00A46BD7" w:rsidRPr="00A46BD7" w:rsidRDefault="00A46BD7" w:rsidP="00A46BD7">
      <w:pPr>
        <w:pStyle w:val="EndNoteBibliography"/>
      </w:pPr>
      <w:r w:rsidRPr="00A46BD7">
        <w:t>21.</w:t>
      </w:r>
      <w:r w:rsidRPr="00A46BD7">
        <w:tab/>
        <w:t>NHS Digital. Hospital Accident &amp; Emergency Activity 2018-19 England2019 [24/03/2022]. Available from: h</w:t>
      </w:r>
      <w:r w:rsidRPr="003648AA">
        <w:t>ttps://digital.nhs.uk/data-and-information/publications/statistical/hospital-accident--emergency-activity/2018-19#.</w:t>
      </w:r>
      <w:r w:rsidRPr="00A46BD7">
        <w:t xml:space="preserve"> Access date 24/03/2022</w:t>
      </w:r>
    </w:p>
    <w:p w14:paraId="1694B6EC" w14:textId="7CC26E63" w:rsidR="00A46BD7" w:rsidRPr="00A46BD7" w:rsidRDefault="00A46BD7" w:rsidP="00A46BD7">
      <w:pPr>
        <w:pStyle w:val="EndNoteBibliography"/>
      </w:pPr>
      <w:r w:rsidRPr="00A46BD7">
        <w:t>22.</w:t>
      </w:r>
      <w:r w:rsidRPr="00A46BD7">
        <w:tab/>
        <w:t>NHS England, NHS Improvement. A&amp;E Attendances and Emergency Admissions March 2020 Statistical Commentary Leeds, UK2020 [24/03/2022]. Available from: h</w:t>
      </w:r>
      <w:r w:rsidRPr="003648AA">
        <w:t>ttps://www.england.nhs.uk/statistics/wp-content/uploads/sites/2/2020/04/Statistical-commentary-March-2020-jf8hj.pdf.</w:t>
      </w:r>
      <w:r w:rsidRPr="00A46BD7">
        <w:t xml:space="preserve"> Access date 08/11/2021</w:t>
      </w:r>
    </w:p>
    <w:p w14:paraId="42E59DF4" w14:textId="7AAF9917" w:rsidR="00A46BD7" w:rsidRPr="00A46BD7" w:rsidRDefault="00A46BD7" w:rsidP="00A46BD7">
      <w:pPr>
        <w:pStyle w:val="EndNoteBibliography"/>
      </w:pPr>
      <w:r w:rsidRPr="00A46BD7">
        <w:t>23.</w:t>
      </w:r>
      <w:r w:rsidRPr="00A46BD7">
        <w:tab/>
        <w:t>NHS England, NHS Improvement. A&amp;E Attendances and Emergency Admissions March 2021 Statistical Commentary  Leeds, UK2021 [24/03/2022]. Available from: h</w:t>
      </w:r>
      <w:r w:rsidRPr="003648AA">
        <w:t>ttps://www.england.nhs.uk/statistics/wp-content/uploads/sites/2/2021/04/Statistical-commentary-March-2021-jf8hj.pdf.</w:t>
      </w:r>
      <w:r w:rsidRPr="00A46BD7">
        <w:t xml:space="preserve"> Access date 08/11/2021</w:t>
      </w:r>
    </w:p>
    <w:p w14:paraId="140F02EB" w14:textId="68A76EA8" w:rsidR="00A46BD7" w:rsidRPr="00A46BD7" w:rsidRDefault="00A46BD7" w:rsidP="00A46BD7">
      <w:pPr>
        <w:pStyle w:val="EndNoteBibliography"/>
      </w:pPr>
      <w:r w:rsidRPr="00A46BD7">
        <w:t>24.</w:t>
      </w:r>
      <w:r w:rsidRPr="00A46BD7">
        <w:tab/>
        <w:t>NHS Digital. NHS 111 online - Benefits of NHS 111 online  [24/03/2022]. Available from: h</w:t>
      </w:r>
      <w:r w:rsidRPr="003648AA">
        <w:t>ttps://digital.nhs.uk/services/nhs-111-online#benefits-of-nhs-111-online.</w:t>
      </w:r>
      <w:r w:rsidRPr="00A46BD7">
        <w:t xml:space="preserve"> Access date 24/03/2022</w:t>
      </w:r>
    </w:p>
    <w:p w14:paraId="6BB08933" w14:textId="77777777" w:rsidR="00A46BD7" w:rsidRPr="00A46BD7" w:rsidRDefault="00A46BD7" w:rsidP="00A46BD7">
      <w:pPr>
        <w:pStyle w:val="EndNoteBibliography"/>
      </w:pPr>
      <w:r w:rsidRPr="00A46BD7">
        <w:t>25.</w:t>
      </w:r>
      <w:r w:rsidRPr="00A46BD7">
        <w:tab/>
        <w:t>NHS England. Next steps on the NHS Five Year Forward View. Leeds, UK; 2017.</w:t>
      </w:r>
    </w:p>
    <w:p w14:paraId="1A3B7E2B" w14:textId="77777777" w:rsidR="00A46BD7" w:rsidRPr="00A46BD7" w:rsidRDefault="00A46BD7" w:rsidP="00A46BD7">
      <w:pPr>
        <w:pStyle w:val="EndNoteBibliography"/>
      </w:pPr>
      <w:r w:rsidRPr="00A46BD7">
        <w:t>26.</w:t>
      </w:r>
      <w:r w:rsidRPr="00A46BD7">
        <w:tab/>
        <w:t>Munro J, Nicholl J, O'Cathain A, Knowles E. Impact of NHS Direct on demand for immediate care: observational study. BMJ. 2000;321(7254):150-3.</w:t>
      </w:r>
    </w:p>
    <w:p w14:paraId="2A2B70DC" w14:textId="77777777" w:rsidR="00A46BD7" w:rsidRPr="00A46BD7" w:rsidRDefault="00A46BD7" w:rsidP="00A46BD7">
      <w:pPr>
        <w:pStyle w:val="EndNoteBibliography"/>
      </w:pPr>
      <w:r w:rsidRPr="00A46BD7">
        <w:t>27.</w:t>
      </w:r>
      <w:r w:rsidRPr="00A46BD7">
        <w:tab/>
        <w:t>Turner J, O'Cathain A, Knowles E, Nicholl J. Impact of the urgent care telephone service NHS 111 pilot sites: a controlled before and after study. BMJ Open. 2013;3(11):e003451.</w:t>
      </w:r>
    </w:p>
    <w:p w14:paraId="1BBA2AA7" w14:textId="77777777" w:rsidR="00A46BD7" w:rsidRPr="00A46BD7" w:rsidRDefault="00A46BD7" w:rsidP="00A46BD7">
      <w:pPr>
        <w:pStyle w:val="EndNoteBibliography"/>
      </w:pPr>
      <w:r w:rsidRPr="00A46BD7">
        <w:t>28.</w:t>
      </w:r>
      <w:r w:rsidRPr="00A46BD7">
        <w:tab/>
        <w:t>Egan M, Murar F, Lawrence J, Burd H. Identifying the predictors of avoidable emergency department attendance after contact with the NHS 111 phone service: analysis of 16.6 million calls to 111 in England in 2015–2017. BMJ Open. 2020;10(3):e032043.</w:t>
      </w:r>
    </w:p>
    <w:p w14:paraId="1E256264" w14:textId="77777777" w:rsidR="00A46BD7" w:rsidRPr="00A46BD7" w:rsidRDefault="00A46BD7" w:rsidP="00A46BD7">
      <w:pPr>
        <w:pStyle w:val="EndNoteBibliography"/>
      </w:pPr>
      <w:r w:rsidRPr="00A46BD7">
        <w:t>29.</w:t>
      </w:r>
      <w:r w:rsidRPr="00A46BD7">
        <w:tab/>
        <w:t>Dayan M. Nuffield Winter Insight Briefing 2: NHS 111. 2017 20/08/2020.</w:t>
      </w:r>
    </w:p>
    <w:p w14:paraId="0E02CB19" w14:textId="77777777" w:rsidR="00A46BD7" w:rsidRPr="00A46BD7" w:rsidRDefault="00A46BD7" w:rsidP="00A46BD7">
      <w:pPr>
        <w:pStyle w:val="EndNoteBibliography"/>
      </w:pPr>
      <w:r w:rsidRPr="00A46BD7">
        <w:t>30.</w:t>
      </w:r>
      <w:r w:rsidRPr="00A46BD7">
        <w:tab/>
        <w:t>Lewis J, Stone T, Simpson R, Jacques R, O’Keeffe C, Croft S, et al. Patient compliance with NHS 111 advice: Analysis of adult call and ED attendance data 2013–2017. Plos one. 2021;16(5):e0251362.</w:t>
      </w:r>
    </w:p>
    <w:p w14:paraId="02F3D156" w14:textId="77777777" w:rsidR="00A46BD7" w:rsidRPr="00A46BD7" w:rsidRDefault="00A46BD7" w:rsidP="00A46BD7">
      <w:pPr>
        <w:pStyle w:val="EndNoteBibliography"/>
      </w:pPr>
      <w:r w:rsidRPr="00A46BD7">
        <w:t>31.</w:t>
      </w:r>
      <w:r w:rsidRPr="00A46BD7">
        <w:tab/>
        <w:t>Turnbull J, Prichard J, Pope C, Brook S, Rowsell A. Risk work in NHS 111: the everyday work of managing risk in telephone assessment using a computer decision support system. Health, Risk &amp; Society. 2017;19(3-4):189-208.</w:t>
      </w:r>
    </w:p>
    <w:p w14:paraId="6B00433D" w14:textId="77777777" w:rsidR="00A46BD7" w:rsidRPr="00A46BD7" w:rsidRDefault="00A46BD7" w:rsidP="00A46BD7">
      <w:pPr>
        <w:pStyle w:val="EndNoteBibliography"/>
      </w:pPr>
      <w:r w:rsidRPr="00A46BD7">
        <w:t>32.</w:t>
      </w:r>
      <w:r w:rsidRPr="00A46BD7">
        <w:tab/>
        <w:t>Pope C, Halford S, Turnbull J, Prichard J, Calestani M, May C. Using computer decision support systems in NHS emergency and urgent care: ethnographic study using normalisation process theory. BMC Health Services Research. 2013;13(1):111.</w:t>
      </w:r>
    </w:p>
    <w:p w14:paraId="53EC43B2" w14:textId="77777777" w:rsidR="00A46BD7" w:rsidRPr="00A46BD7" w:rsidRDefault="00A46BD7" w:rsidP="00A46BD7">
      <w:pPr>
        <w:pStyle w:val="EndNoteBibliography"/>
      </w:pPr>
      <w:r w:rsidRPr="00A46BD7">
        <w:t>33.</w:t>
      </w:r>
      <w:r w:rsidRPr="00A46BD7">
        <w:tab/>
        <w:t>O’Cathain A, Knowles E, Turner J, Nicholl J. Acceptability of NHS 111 the telephone service for urgent health care: cross sectional postal survey of users’ views. Family Practice. 2014;31(2):193-200.</w:t>
      </w:r>
    </w:p>
    <w:p w14:paraId="652D07E9" w14:textId="77777777" w:rsidR="00A46BD7" w:rsidRPr="00A46BD7" w:rsidRDefault="00A46BD7" w:rsidP="00A46BD7">
      <w:pPr>
        <w:pStyle w:val="EndNoteBibliography"/>
      </w:pPr>
      <w:r w:rsidRPr="00A46BD7">
        <w:t>34.</w:t>
      </w:r>
      <w:r w:rsidRPr="00A46BD7">
        <w:tab/>
        <w:t>Pope C, Turnbull J, Jones J, Prichard J, Rowsell A, Halford S. Has the NHS 111 urgent care telephone service been a success? Case study and secondary data analysis in England. BMJ Open. 2017;7(5):e014815.</w:t>
      </w:r>
    </w:p>
    <w:p w14:paraId="7EA34557" w14:textId="77777777" w:rsidR="00A46BD7" w:rsidRPr="00A46BD7" w:rsidRDefault="00A46BD7" w:rsidP="00A46BD7">
      <w:pPr>
        <w:pStyle w:val="EndNoteBibliography"/>
      </w:pPr>
      <w:r w:rsidRPr="00A46BD7">
        <w:t>35.</w:t>
      </w:r>
      <w:r w:rsidRPr="00A46BD7">
        <w:tab/>
        <w:t>Iacobucci G. GPs back call for independent review of “dreadful” NHS 111. BMJ : British Medical Journal. 2013;346:f3437.</w:t>
      </w:r>
    </w:p>
    <w:p w14:paraId="722F8F1D" w14:textId="77777777" w:rsidR="00A46BD7" w:rsidRPr="00A46BD7" w:rsidRDefault="00A46BD7" w:rsidP="00A46BD7">
      <w:pPr>
        <w:pStyle w:val="EndNoteBibliography"/>
      </w:pPr>
      <w:r w:rsidRPr="00A46BD7">
        <w:t>36.</w:t>
      </w:r>
      <w:r w:rsidRPr="00A46BD7">
        <w:tab/>
        <w:t>Phillips JS. Paramedics' perceptions and experiences of NHS 111 in the south west of England. Journal of Paramedic Practice. 2020;12(6):227-34.</w:t>
      </w:r>
    </w:p>
    <w:p w14:paraId="47C8170B" w14:textId="77777777" w:rsidR="00A46BD7" w:rsidRPr="00A46BD7" w:rsidRDefault="00A46BD7" w:rsidP="00A46BD7">
      <w:pPr>
        <w:pStyle w:val="EndNoteBibliography"/>
      </w:pPr>
      <w:r w:rsidRPr="00A46BD7">
        <w:t>37.</w:t>
      </w:r>
      <w:r w:rsidRPr="00A46BD7">
        <w:tab/>
        <w:t>Knowles E, O'Cathain A, Turner J, Nicholl J. Awareness and use of a new urgent care telephone service, NHS 111: cross-sectional population survey. Journal of Health Services Research &amp; Policy. 2014;19(4):224-30.</w:t>
      </w:r>
    </w:p>
    <w:p w14:paraId="4DEF9966" w14:textId="07831816" w:rsidR="00A46BD7" w:rsidRPr="00A46BD7" w:rsidRDefault="00A46BD7" w:rsidP="00A46BD7">
      <w:pPr>
        <w:pStyle w:val="EndNoteBibliography"/>
      </w:pPr>
      <w:r w:rsidRPr="00A46BD7">
        <w:t>38.</w:t>
      </w:r>
      <w:r w:rsidRPr="00A46BD7">
        <w:tab/>
        <w:t>NIHR National Institute for Health Research. Funding and Awards - Same technology, different settings: workforce management, planning and training implications UK2008 [24/03/2022]. Available from: h</w:t>
      </w:r>
      <w:r w:rsidRPr="003648AA">
        <w:t>ttps://fundingawards.nihr.ac.uk/award/08/1819/217.</w:t>
      </w:r>
      <w:r w:rsidRPr="00A46BD7">
        <w:t xml:space="preserve"> Access date 01/11/2021</w:t>
      </w:r>
    </w:p>
    <w:p w14:paraId="5E201234" w14:textId="5B7CB816" w:rsidR="00A46BD7" w:rsidRPr="00A46BD7" w:rsidRDefault="00A46BD7" w:rsidP="00A46BD7">
      <w:pPr>
        <w:pStyle w:val="EndNoteBibliography"/>
      </w:pPr>
      <w:r w:rsidRPr="00A46BD7">
        <w:t>39.</w:t>
      </w:r>
      <w:r w:rsidRPr="00A46BD7">
        <w:tab/>
        <w:t>NIHR National Institute for Health Research. Journals Library - The work, workforce, technology and organisational implications of the '111' single point of access telephone number for urgent (non-emergency) care UK2014 [24/03/2022]. Available from: h</w:t>
      </w:r>
      <w:r w:rsidRPr="003648AA">
        <w:t>ttps://www.journalslibrary.nihr.ac.uk/programmes/hsdr/10100810/#/.</w:t>
      </w:r>
      <w:r w:rsidRPr="00A46BD7">
        <w:t xml:space="preserve"> Access date 01/11/2021</w:t>
      </w:r>
    </w:p>
    <w:p w14:paraId="2FAFFEBF" w14:textId="201488FF" w:rsidR="00A46BD7" w:rsidRPr="00A46BD7" w:rsidRDefault="00A46BD7" w:rsidP="00A46BD7">
      <w:pPr>
        <w:pStyle w:val="EndNoteBibliography"/>
      </w:pPr>
      <w:r w:rsidRPr="00A46BD7">
        <w:t>40.</w:t>
      </w:r>
      <w:r w:rsidRPr="00A46BD7">
        <w:tab/>
        <w:t>NIHR National Institute for Health Research. Journals Library - A study of sense-making strategies and help-seeking behaviours associated with the use and provision of urgent care services 2019 [24/03/2022]. Available from: h</w:t>
      </w:r>
      <w:r w:rsidRPr="003648AA">
        <w:t>ttps://www.journalslibrary.nihr.ac.uk/programmes/hsdr/141916/#/.</w:t>
      </w:r>
      <w:r w:rsidRPr="00A46BD7">
        <w:t xml:space="preserve"> Access date 01/11/2021</w:t>
      </w:r>
    </w:p>
    <w:p w14:paraId="2D85E097" w14:textId="6A51E4E9" w:rsidR="00A46BD7" w:rsidRPr="00A46BD7" w:rsidRDefault="00A46BD7" w:rsidP="00A46BD7">
      <w:pPr>
        <w:pStyle w:val="EndNoteBibliography"/>
      </w:pPr>
      <w:r w:rsidRPr="00A46BD7">
        <w:t>41.</w:t>
      </w:r>
      <w:r w:rsidRPr="00A46BD7">
        <w:tab/>
        <w:t>NIHR National Institute for Health Research. Journals Library - An evaluation of the impact of online NHS111 on the NHS111 telephone service and urgent care system UK2021 [24/03/2022]. Available from: h</w:t>
      </w:r>
      <w:r w:rsidRPr="003648AA">
        <w:t>ttps://www.journalslibrary.nihr.ac.uk/programmes/hsdr/NIHR127655/#/.</w:t>
      </w:r>
      <w:r w:rsidRPr="00A46BD7">
        <w:t xml:space="preserve"> Access date 01/11/2021</w:t>
      </w:r>
    </w:p>
    <w:p w14:paraId="7D0FF0AB" w14:textId="77777777" w:rsidR="00A46BD7" w:rsidRPr="00A46BD7" w:rsidRDefault="00A46BD7" w:rsidP="00A46BD7">
      <w:pPr>
        <w:pStyle w:val="EndNoteBibliography"/>
      </w:pPr>
      <w:r w:rsidRPr="00A46BD7">
        <w:t>42.</w:t>
      </w:r>
      <w:r w:rsidRPr="00A46BD7">
        <w:tab/>
        <w:t>Kayser L, Karnoe A, Furstrand D, Batterham R, Christensen KB, Elsworth G, et al. A Multidimensional Tool Based on the eHealth Literacy Framework: Development and Initial Validity Testing of the eHealth Literacy Questionnaire (eHLQ). J Med Internet Res. 2018;20(2):e36.</w:t>
      </w:r>
    </w:p>
    <w:p w14:paraId="565EEC79" w14:textId="5988D6F9" w:rsidR="00A46BD7" w:rsidRPr="00A46BD7" w:rsidRDefault="00A46BD7" w:rsidP="00A46BD7">
      <w:pPr>
        <w:pStyle w:val="EndNoteBibliography"/>
      </w:pPr>
      <w:r w:rsidRPr="00A46BD7">
        <w:t>43.</w:t>
      </w:r>
      <w:r w:rsidRPr="00A46BD7">
        <w:tab/>
        <w:t>Whitty C, Wood L. Best Research for Best Health: The Next Chapter: NIHR; 2021 [24/03/2022]. Available from: h</w:t>
      </w:r>
      <w:r w:rsidRPr="003648AA">
        <w:t>ttps://www.nihr.ac.uk/documents/best-research-for-best-health-the-next-chapter/27778#Bringing_clinical_and_applied_research_to_under-served_regions_and_communities_with_major_health_needs.</w:t>
      </w:r>
      <w:r w:rsidRPr="00A46BD7">
        <w:t xml:space="preserve"> Access date 24/03/2022</w:t>
      </w:r>
    </w:p>
    <w:p w14:paraId="6B0DA8D6" w14:textId="77777777" w:rsidR="00A46BD7" w:rsidRPr="00A46BD7" w:rsidRDefault="00A46BD7" w:rsidP="00A46BD7">
      <w:pPr>
        <w:pStyle w:val="EndNoteBibliography"/>
      </w:pPr>
      <w:r w:rsidRPr="00A46BD7">
        <w:t>44.</w:t>
      </w:r>
      <w:r w:rsidRPr="00A46BD7">
        <w:tab/>
        <w:t>Rai T, Dixon S, Ziebland S. Shifting research culture to address the mismatch between where trials recruit and where populations with the most disease live: a qualitative study. BMC Medical Research Methodology. 2021;21(1):80.</w:t>
      </w:r>
    </w:p>
    <w:p w14:paraId="6647D47A" w14:textId="77777777" w:rsidR="00A46BD7" w:rsidRPr="00A46BD7" w:rsidRDefault="00A46BD7" w:rsidP="00A46BD7">
      <w:pPr>
        <w:pStyle w:val="EndNoteBibliography"/>
      </w:pPr>
      <w:r w:rsidRPr="00A46BD7">
        <w:t>45.</w:t>
      </w:r>
      <w:r w:rsidRPr="00A46BD7">
        <w:tab/>
        <w:t>Ministry of Housing Communities &amp; Local Government, Stefan  Noble, David  McLennan, Michael  Noble, Emma  Plunkett, Nils  Gutacker, et al. The  English  Indices  of  Deprivation  2019 Research Report. London, UK: Ministry of Housing, Communities &amp; Local Government; 2019.</w:t>
      </w:r>
    </w:p>
    <w:p w14:paraId="3D7B355C" w14:textId="0F651E28" w:rsidR="00A46BD7" w:rsidRPr="00A46BD7" w:rsidRDefault="00A46BD7" w:rsidP="00A46BD7">
      <w:pPr>
        <w:pStyle w:val="EndNoteBibliography"/>
      </w:pPr>
      <w:r w:rsidRPr="00A46BD7">
        <w:t>46.</w:t>
      </w:r>
      <w:r w:rsidRPr="00A46BD7">
        <w:tab/>
        <w:t>QSR International Pty Ltd. NVivo (released in March 2020) 2020 [24/03/2022]. Available from: h</w:t>
      </w:r>
      <w:r w:rsidRPr="003648AA">
        <w:t>ttps://www.qsrinternational.com/nvivo-qualitative-data-analysis-software/home.</w:t>
      </w:r>
      <w:r w:rsidRPr="00A46BD7">
        <w:t xml:space="preserve"> Access date 24/03/2022</w:t>
      </w:r>
    </w:p>
    <w:p w14:paraId="2FB6C5CC" w14:textId="77777777" w:rsidR="00A46BD7" w:rsidRPr="00A46BD7" w:rsidRDefault="00A46BD7" w:rsidP="00A46BD7">
      <w:pPr>
        <w:pStyle w:val="EndNoteBibliography"/>
      </w:pPr>
      <w:r w:rsidRPr="00A46BD7">
        <w:t>47.</w:t>
      </w:r>
      <w:r w:rsidRPr="00A46BD7">
        <w:tab/>
        <w:t>van Deursen AJAM, Helsper EJ, Eynon R. Development and validation of the Internet Skills Scale (ISS). Information, Communication &amp; Society. 2016;19(6):804-23.</w:t>
      </w:r>
    </w:p>
    <w:p w14:paraId="4242148C" w14:textId="77777777" w:rsidR="00A46BD7" w:rsidRPr="00A46BD7" w:rsidRDefault="00A46BD7" w:rsidP="00A46BD7">
      <w:pPr>
        <w:pStyle w:val="EndNoteBibliography"/>
      </w:pPr>
      <w:r w:rsidRPr="00A46BD7">
        <w:t>48.</w:t>
      </w:r>
      <w:r w:rsidRPr="00A46BD7">
        <w:tab/>
        <w:t>Alvarez-Galvez J, Salinas-Perez JA, Montagni I, Salvador-Carulla L. The persistence of digital divides in the use of health information: a comparative study in 28 European countries. International Journal of Public Health. 2020;65(3):325-33.</w:t>
      </w:r>
    </w:p>
    <w:p w14:paraId="5E0BF0D3" w14:textId="77777777" w:rsidR="00A46BD7" w:rsidRPr="00A46BD7" w:rsidRDefault="00A46BD7" w:rsidP="00A46BD7">
      <w:pPr>
        <w:pStyle w:val="EndNoteBibliography"/>
      </w:pPr>
      <w:r w:rsidRPr="00A46BD7">
        <w:t>49.</w:t>
      </w:r>
      <w:r w:rsidRPr="00A46BD7">
        <w:tab/>
        <w:t>Norman CD, Skinner HA. eHEALS: The eHealth Literacy Scale. J Med Internet Res. 2006;8(4):e27.</w:t>
      </w:r>
    </w:p>
    <w:p w14:paraId="5F96FACD" w14:textId="77777777" w:rsidR="00A46BD7" w:rsidRPr="00A46BD7" w:rsidRDefault="00A46BD7" w:rsidP="00A46BD7">
      <w:pPr>
        <w:pStyle w:val="EndNoteBibliography"/>
      </w:pPr>
      <w:r w:rsidRPr="00A46BD7">
        <w:t>50.</w:t>
      </w:r>
      <w:r w:rsidRPr="00A46BD7">
        <w:tab/>
        <w:t>Dale JG, Lüthi A, Fundingsland Skaraas B, Rundereim T, Dale B. Testing Measurement Properties of the Norwegian Version of Electronic Health Literacy Scale (eHEALS) in a Group of Day Surgery Patients. J Multidiscip Healthc. 2020;13:241-7.</w:t>
      </w:r>
    </w:p>
    <w:p w14:paraId="7DC60AEF" w14:textId="77777777" w:rsidR="00A46BD7" w:rsidRPr="00A46BD7" w:rsidRDefault="00A46BD7" w:rsidP="00A46BD7">
      <w:pPr>
        <w:pStyle w:val="EndNoteBibliography"/>
      </w:pPr>
      <w:r w:rsidRPr="00A46BD7">
        <w:t>51.</w:t>
      </w:r>
      <w:r w:rsidRPr="00A46BD7">
        <w:tab/>
        <w:t>Soellner R, Huber S, Reder M. The Concept of eHealth Literacy and Its Measurement. Journal of Media Psychology. 2014;26(1):29-38.</w:t>
      </w:r>
    </w:p>
    <w:p w14:paraId="56C00FC6" w14:textId="77777777" w:rsidR="00A46BD7" w:rsidRPr="00A46BD7" w:rsidRDefault="00A46BD7" w:rsidP="00A46BD7">
      <w:pPr>
        <w:pStyle w:val="EndNoteBibliography"/>
      </w:pPr>
      <w:r w:rsidRPr="00A46BD7">
        <w:t>52.</w:t>
      </w:r>
      <w:r w:rsidRPr="00A46BD7">
        <w:tab/>
        <w:t>Sudbury-Riley L, FitzPatrick M, Schulz PJ. Exploring the measurement properties of the eHealth literacy scale (eHEALS) among baby boomers: a multinational test of measurement invariance. Journal of Medical Internet Research. 2017;19(2):e53.</w:t>
      </w:r>
    </w:p>
    <w:p w14:paraId="63723930" w14:textId="77777777" w:rsidR="00A46BD7" w:rsidRPr="00A46BD7" w:rsidRDefault="00A46BD7" w:rsidP="00A46BD7">
      <w:pPr>
        <w:pStyle w:val="EndNoteBibliography"/>
      </w:pPr>
      <w:r w:rsidRPr="00A46BD7">
        <w:t>53.</w:t>
      </w:r>
      <w:r w:rsidRPr="00A46BD7">
        <w:tab/>
        <w:t>Norgaard O, Furstrand D, Klokker L, Karnoe A, Batterham R, Kayser L, et al. The e-health literacy framework: a conceptual framework for characterizing e-health users and their interaction with e-health systems. Knowledge Management &amp; E-Learning: An International Journal. 2015;7(4):522-40.</w:t>
      </w:r>
    </w:p>
    <w:p w14:paraId="5BFE875E" w14:textId="77777777" w:rsidR="00A46BD7" w:rsidRPr="00A46BD7" w:rsidRDefault="00A46BD7" w:rsidP="00A46BD7">
      <w:pPr>
        <w:pStyle w:val="EndNoteBibliography"/>
      </w:pPr>
      <w:r w:rsidRPr="00A46BD7">
        <w:t>54.</w:t>
      </w:r>
      <w:r w:rsidRPr="00A46BD7">
        <w:tab/>
        <w:t>IBM. IBM SPSS Statistics 27. IBM.com2020.</w:t>
      </w:r>
    </w:p>
    <w:p w14:paraId="03B18CE3" w14:textId="77777777" w:rsidR="00A46BD7" w:rsidRPr="00A46BD7" w:rsidRDefault="00A46BD7" w:rsidP="00A46BD7">
      <w:pPr>
        <w:pStyle w:val="EndNoteBibliography"/>
      </w:pPr>
      <w:r w:rsidRPr="00A46BD7">
        <w:t>55.</w:t>
      </w:r>
      <w:r w:rsidRPr="00A46BD7">
        <w:tab/>
        <w:t>Lakens D. Calculating and reporting effect sizes to facilitate cumulative science: a practical primer for t-tests and ANOVAs. Frontiers in Psychology. 2013;4(863).</w:t>
      </w:r>
    </w:p>
    <w:p w14:paraId="59A05004" w14:textId="77777777" w:rsidR="00A46BD7" w:rsidRPr="00A46BD7" w:rsidRDefault="00A46BD7" w:rsidP="00A46BD7">
      <w:pPr>
        <w:pStyle w:val="EndNoteBibliography"/>
      </w:pPr>
      <w:r w:rsidRPr="00A46BD7">
        <w:t>56.</w:t>
      </w:r>
      <w:r w:rsidRPr="00A46BD7">
        <w:tab/>
        <w:t>Fox J. Applied Regression, Linear Models and Related Models. 1 ed. USA: Sage Publications; 1997.</w:t>
      </w:r>
    </w:p>
    <w:p w14:paraId="60716F29" w14:textId="77777777" w:rsidR="00A46BD7" w:rsidRPr="00A46BD7" w:rsidRDefault="00A46BD7" w:rsidP="00A46BD7">
      <w:pPr>
        <w:pStyle w:val="EndNoteBibliography"/>
      </w:pPr>
      <w:r w:rsidRPr="00A46BD7">
        <w:t>57.</w:t>
      </w:r>
      <w:r w:rsidRPr="00A46BD7">
        <w:tab/>
        <w:t>Staley K, Elliott J, Stewart D, Wilson R. Who should I involve in my research and why? Patients, carers or the public? Research Involvement and Engagement. 2021;7(1):41.</w:t>
      </w:r>
    </w:p>
    <w:p w14:paraId="70C21B8E" w14:textId="77777777" w:rsidR="00A46BD7" w:rsidRPr="00A46BD7" w:rsidRDefault="00A46BD7" w:rsidP="00A46BD7">
      <w:pPr>
        <w:pStyle w:val="EndNoteBibliography"/>
      </w:pPr>
      <w:r w:rsidRPr="00A46BD7">
        <w:t>58.</w:t>
      </w:r>
      <w:r w:rsidRPr="00A46BD7">
        <w:tab/>
        <w:t>Damon W, Callon C, Wiebe L, Small W, Kerr T, McNeil R. Community-based participatory research in a heavily researched inner city neighbourhood: Perspectives of people who use drugs on their experiences as peer researchers. Social Science &amp; Medicine. 2017;176:85-92.</w:t>
      </w:r>
    </w:p>
    <w:p w14:paraId="2BB8BC2F" w14:textId="77777777" w:rsidR="00A46BD7" w:rsidRPr="00A46BD7" w:rsidRDefault="00A46BD7" w:rsidP="00A46BD7">
      <w:pPr>
        <w:pStyle w:val="EndNoteBibliography"/>
      </w:pPr>
      <w:r w:rsidRPr="00A46BD7">
        <w:t>59.</w:t>
      </w:r>
      <w:r w:rsidRPr="00A46BD7">
        <w:tab/>
        <w:t>Devotta K, Woodhall-Melnik J, Pedersen C, Wendaferew A, Dowbor TP, Guilcher SJT, et al. Enriching qualitative research by engaging peer interviewers: a case study. Qualitative Research. 2016;16(6):661-80.</w:t>
      </w:r>
    </w:p>
    <w:p w14:paraId="07F59D10" w14:textId="77777777" w:rsidR="00A46BD7" w:rsidRPr="00A46BD7" w:rsidRDefault="00A46BD7" w:rsidP="00A46BD7">
      <w:pPr>
        <w:pStyle w:val="EndNoteBibliography"/>
      </w:pPr>
      <w:r w:rsidRPr="00A46BD7">
        <w:t>60.</w:t>
      </w:r>
      <w:r w:rsidRPr="00A46BD7">
        <w:tab/>
        <w:t>Greene MJ. On the inside looking in: Methodological insights and challenges in conducting qualitative insider research. The qualitative report. 2014;19(29):1-13.</w:t>
      </w:r>
    </w:p>
    <w:p w14:paraId="66F6CC70" w14:textId="77777777" w:rsidR="00A46BD7" w:rsidRPr="00A46BD7" w:rsidRDefault="00A46BD7" w:rsidP="00A46BD7">
      <w:pPr>
        <w:pStyle w:val="EndNoteBibliography"/>
      </w:pPr>
      <w:r w:rsidRPr="00A46BD7">
        <w:t>61.</w:t>
      </w:r>
      <w:r w:rsidRPr="00A46BD7">
        <w:tab/>
        <w:t>Staley K, Barron D. Learning as an outcome of involvement in research: what are the implications for practice, reporting and evaluation? Research Involvement and Engagement. 2019;5(1):14.</w:t>
      </w:r>
    </w:p>
    <w:p w14:paraId="425C0CB7" w14:textId="583E0C61" w:rsidR="00A46BD7" w:rsidRPr="00A46BD7" w:rsidRDefault="00A46BD7" w:rsidP="00A46BD7">
      <w:pPr>
        <w:pStyle w:val="EndNoteBibliography"/>
      </w:pPr>
      <w:r w:rsidRPr="00A46BD7">
        <w:t>62.</w:t>
      </w:r>
      <w:r w:rsidRPr="00A46BD7">
        <w:tab/>
        <w:t>NHS Digital. Digital channels for citizen services and triage: Digital.nhs.uk;  [24/03/2022]. Available from: h</w:t>
      </w:r>
      <w:r w:rsidRPr="003648AA">
        <w:t>ttps://digital.nhs.uk/coronavirus/nhs-digital-coronavirus-programme-updates/programme-updates-19-june-2020/digital-channels-for-citizen-services-and-triage#document-content.</w:t>
      </w:r>
      <w:r w:rsidRPr="00A46BD7">
        <w:t xml:space="preserve"> Access date 24/03/2022</w:t>
      </w:r>
    </w:p>
    <w:p w14:paraId="78C9983B" w14:textId="5D102F12" w:rsidR="00A46BD7" w:rsidRPr="00A46BD7" w:rsidRDefault="00A46BD7" w:rsidP="00A46BD7">
      <w:pPr>
        <w:pStyle w:val="EndNoteBibliography"/>
      </w:pPr>
      <w:r w:rsidRPr="00A46BD7">
        <w:t>63.</w:t>
      </w:r>
      <w:r w:rsidRPr="00A46BD7">
        <w:tab/>
        <w:t>M&amp;C Saatchi. NHS Think 111 First: M&amp;C Saatchi; 2020 [24/03/2022]. Available from: h</w:t>
      </w:r>
      <w:r w:rsidRPr="003648AA">
        <w:t>ttps://www.adsoftheworld.com/media/film/nhs_think_111_first.</w:t>
      </w:r>
      <w:r w:rsidRPr="00A46BD7">
        <w:t xml:space="preserve"> Access date 24/03/2022</w:t>
      </w:r>
    </w:p>
    <w:p w14:paraId="2DC8D2E9" w14:textId="7D010C1C" w:rsidR="00A46BD7" w:rsidRPr="00A46BD7" w:rsidRDefault="00A46BD7" w:rsidP="00A46BD7">
      <w:pPr>
        <w:pStyle w:val="EndNoteBibliography"/>
      </w:pPr>
      <w:r w:rsidRPr="00A46BD7">
        <w:t>64.</w:t>
      </w:r>
      <w:r w:rsidRPr="00A46BD7">
        <w:tab/>
        <w:t>NHS Wirral Community Health &amp; Care NHS Foundation Trust. NHS 111 First launches in Wirral 2019 [24/03/2022]. Available from: h</w:t>
      </w:r>
      <w:r w:rsidRPr="003648AA">
        <w:t>ttps://www.wchc.nhs.uk/news/nhs-111-first-launches-in-wirral/.</w:t>
      </w:r>
      <w:r w:rsidRPr="00A46BD7">
        <w:t xml:space="preserve"> Access date 234/03/2022</w:t>
      </w:r>
    </w:p>
    <w:p w14:paraId="715D755C" w14:textId="77777777" w:rsidR="00A46BD7" w:rsidRPr="00A46BD7" w:rsidRDefault="00A46BD7" w:rsidP="00A46BD7">
      <w:pPr>
        <w:pStyle w:val="EndNoteBibliography"/>
      </w:pPr>
      <w:r w:rsidRPr="00A46BD7">
        <w:t>65.</w:t>
      </w:r>
      <w:r w:rsidRPr="00A46BD7">
        <w:tab/>
        <w:t>NHS Isle of Wight NHS Trust. NHS 111 First - What is NHS 111 First? 2019 [24/03/2022]. e</w:t>
      </w:r>
    </w:p>
    <w:p w14:paraId="39D66A2F" w14:textId="4F30AF41" w:rsidR="00A46BD7" w:rsidRPr="00A46BD7" w:rsidRDefault="00A46BD7" w:rsidP="00A46BD7">
      <w:pPr>
        <w:pStyle w:val="EndNoteBibliography"/>
      </w:pPr>
      <w:r w:rsidRPr="00A46BD7">
        <w:t>Available from: h</w:t>
      </w:r>
      <w:r w:rsidRPr="003648AA">
        <w:t>ttps://www.iow.nhs.uk/our-services/nhs-111/nhs-111.htm.</w:t>
      </w:r>
      <w:r w:rsidRPr="00A46BD7">
        <w:t xml:space="preserve"> Access date 24/03/2022</w:t>
      </w:r>
    </w:p>
    <w:p w14:paraId="44C89CA1" w14:textId="1A88C414" w:rsidR="00A46BD7" w:rsidRPr="0013525F" w:rsidRDefault="00A46BD7" w:rsidP="00A46BD7">
      <w:pPr>
        <w:pStyle w:val="EndNoteBibliography"/>
        <w:rPr>
          <w:rFonts w:ascii="Arial" w:hAnsi="Arial" w:cs="Times New Roman"/>
          <w:color w:val="1A0DAB"/>
          <w:sz w:val="21"/>
          <w:szCs w:val="21"/>
          <w:u w:val="single"/>
          <w:shd w:val="clear" w:color="auto" w:fill="FFFFFF"/>
        </w:rPr>
      </w:pPr>
      <w:r w:rsidRPr="00A46BD7">
        <w:t>66.</w:t>
      </w:r>
      <w:r w:rsidRPr="00A46BD7">
        <w:tab/>
        <w:t xml:space="preserve">NHS North East Ambulance Service NHS Foundation Trust. Region’s NHS launches major public awareness campaign in appeal for people to help our vital services by using them wisely 2019 [Available from: </w:t>
      </w:r>
      <w:r w:rsidR="0013525F" w:rsidRPr="003648AA">
        <w:rPr>
          <w:rFonts w:ascii="Arial" w:hAnsi="Arial" w:cs="Times New Roman"/>
          <w:sz w:val="21"/>
          <w:szCs w:val="21"/>
          <w:shd w:val="clear" w:color="auto" w:fill="FFFFFF"/>
        </w:rPr>
        <w:t>https://www.neas.nhs.uk/news/2019/december/19/region%E2%80%99s-nhs-launches-major-public-awareness-campaign-in-appeal-for-people-to-help-our-vital-services-by-using-them-wisely.aspx</w:t>
      </w:r>
      <w:r w:rsidR="0013525F">
        <w:rPr>
          <w:rStyle w:val="Hyperlink"/>
          <w:rFonts w:ascii="Arial" w:hAnsi="Arial"/>
          <w:color w:val="1A0DAB"/>
          <w:sz w:val="21"/>
          <w:szCs w:val="21"/>
          <w:shd w:val="clear" w:color="auto" w:fill="FFFFFF"/>
        </w:rPr>
        <w:t xml:space="preserve"> </w:t>
      </w:r>
      <w:r w:rsidR="0013525F" w:rsidRPr="00A46BD7">
        <w:t xml:space="preserve">Access date </w:t>
      </w:r>
      <w:r w:rsidR="0013525F">
        <w:t>25/04/2022</w:t>
      </w:r>
    </w:p>
    <w:p w14:paraId="5E0E53ED" w14:textId="01698CC0" w:rsidR="00A46BD7" w:rsidRPr="00A46BD7" w:rsidRDefault="00A46BD7" w:rsidP="00A46BD7">
      <w:pPr>
        <w:pStyle w:val="EndNoteBibliography"/>
      </w:pPr>
      <w:r w:rsidRPr="00A46BD7">
        <w:t>67.</w:t>
      </w:r>
      <w:r w:rsidRPr="00A46BD7">
        <w:tab/>
        <w:t>NHS Digital. NHS 111 online hits one million triages mark 2019 [24/03/2022]. Available from: h</w:t>
      </w:r>
      <w:r w:rsidRPr="003648AA">
        <w:t>ttps://digital.nhs.uk/news/2019/nhs-111-online-hits-one-million-triages-mark.</w:t>
      </w:r>
      <w:r w:rsidRPr="00A46BD7">
        <w:t xml:space="preserve"> Access date 24/03/2022</w:t>
      </w:r>
    </w:p>
    <w:p w14:paraId="4CC42FD4" w14:textId="77777777" w:rsidR="00A46BD7" w:rsidRPr="00A46BD7" w:rsidRDefault="00A46BD7" w:rsidP="00A46BD7">
      <w:pPr>
        <w:pStyle w:val="EndNoteBibliography"/>
      </w:pPr>
      <w:r w:rsidRPr="00A46BD7">
        <w:t>68.</w:t>
      </w:r>
      <w:r w:rsidRPr="00A46BD7">
        <w:tab/>
        <w:t>Brant H, Atherton H, Ziebland S, McKinstry B, Campbell JL, Salisbury C. Using alternatives to face-to-face consultations: a survey of prevalence and attitudes in general practice. British Journal of General Practice. 2016;66(648):e460-e6.</w:t>
      </w:r>
    </w:p>
    <w:p w14:paraId="6F420045" w14:textId="77777777" w:rsidR="00A46BD7" w:rsidRPr="00A46BD7" w:rsidRDefault="00A46BD7" w:rsidP="00A46BD7">
      <w:pPr>
        <w:pStyle w:val="EndNoteBibliography"/>
      </w:pPr>
      <w:r w:rsidRPr="00A46BD7">
        <w:t>69.</w:t>
      </w:r>
      <w:r w:rsidRPr="00A46BD7">
        <w:tab/>
        <w:t>Banks J, Farr M, Salisbury C, Bernard E, Northstone K, Edwards H, et al. Use of an electronic consultation system in primary care: a qualitative interview study. British Journal of General Practice. 2018;68(666):e1-e8.</w:t>
      </w:r>
    </w:p>
    <w:p w14:paraId="65672B21" w14:textId="77777777" w:rsidR="00A46BD7" w:rsidRPr="00A46BD7" w:rsidRDefault="00A46BD7" w:rsidP="00A46BD7">
      <w:pPr>
        <w:pStyle w:val="EndNoteBibliography"/>
      </w:pPr>
      <w:r w:rsidRPr="00A46BD7">
        <w:t>70.</w:t>
      </w:r>
      <w:r w:rsidRPr="00A46BD7">
        <w:tab/>
        <w:t>Wears R L, Hollnagel E, Braithwaite J, editors. Resilient Health Care, Volume 2 - The Resilience of Everyday Clinical Work: CRC Press; 2015.</w:t>
      </w:r>
    </w:p>
    <w:p w14:paraId="72EC9407" w14:textId="77777777" w:rsidR="00A46BD7" w:rsidRPr="00A46BD7" w:rsidRDefault="00A46BD7" w:rsidP="00A46BD7">
      <w:pPr>
        <w:pStyle w:val="EndNoteBibliography"/>
      </w:pPr>
      <w:r w:rsidRPr="00A46BD7">
        <w:t>71.</w:t>
      </w:r>
      <w:r w:rsidRPr="00A46BD7">
        <w:tab/>
        <w:t>Braithwaite J, Wears R L, Hollnagel E, editors. Resilient Health Care Vol 3 - Reconciling Work-as-Imagined and Work-as-Done. Abingdon UK: Taylor &amp; Francis; 2017.</w:t>
      </w:r>
    </w:p>
    <w:p w14:paraId="7415FB01" w14:textId="77777777" w:rsidR="00A46BD7" w:rsidRPr="00A46BD7" w:rsidRDefault="00A46BD7" w:rsidP="00A46BD7">
      <w:pPr>
        <w:pStyle w:val="EndNoteBibliography"/>
      </w:pPr>
      <w:r w:rsidRPr="00A46BD7">
        <w:t>72.</w:t>
      </w:r>
      <w:r w:rsidRPr="00A46BD7">
        <w:tab/>
        <w:t>Hollnagel E, Braithwaite J, Wears RL. Delivering resilient health care. 1st ed. London: Routledge; 2018.</w:t>
      </w:r>
    </w:p>
    <w:p w14:paraId="0389769B" w14:textId="77777777" w:rsidR="00A46BD7" w:rsidRPr="00A46BD7" w:rsidRDefault="00A46BD7" w:rsidP="00A46BD7">
      <w:pPr>
        <w:pStyle w:val="EndNoteBibliography"/>
      </w:pPr>
      <w:r w:rsidRPr="00A46BD7">
        <w:t>73.</w:t>
      </w:r>
      <w:r w:rsidRPr="00A46BD7">
        <w:tab/>
        <w:t>Braithwaite J. Changing how we think about healthcare improvement. BMJ. 2018;361:k2014.</w:t>
      </w:r>
    </w:p>
    <w:p w14:paraId="2776225E" w14:textId="113579AB" w:rsidR="00A46BD7" w:rsidRPr="00A46BD7" w:rsidRDefault="00A46BD7" w:rsidP="00A46BD7">
      <w:pPr>
        <w:pStyle w:val="EndNoteBibliography"/>
      </w:pPr>
      <w:r w:rsidRPr="00A46BD7">
        <w:t>74.</w:t>
      </w:r>
      <w:r w:rsidRPr="00A46BD7">
        <w:tab/>
        <w:t>NHS England. High quality care for all, now and for future generations: transforming urgent and emergency care services in England. The evidence base from the urgent and emergency care review. UK; 2013.</w:t>
      </w:r>
    </w:p>
    <w:p w14:paraId="6A7D76FA" w14:textId="77777777" w:rsidR="00A46BD7" w:rsidRPr="00A46BD7" w:rsidRDefault="00A46BD7" w:rsidP="00A46BD7">
      <w:pPr>
        <w:pStyle w:val="EndNoteBibliography"/>
      </w:pPr>
      <w:r w:rsidRPr="00A46BD7">
        <w:t>75.</w:t>
      </w:r>
      <w:r w:rsidRPr="00A46BD7">
        <w:tab/>
        <w:t>NHS England. Page 8, Transforming urgent and emergency care services in England  - Update on the Urgent and Emergency Care Review. Leeds UK: NHS England Urgent and Emergency Care Review Team; 2014 2021.</w:t>
      </w:r>
    </w:p>
    <w:p w14:paraId="3A76BDC2" w14:textId="3E030586" w:rsidR="00A46BD7" w:rsidRPr="00A46BD7" w:rsidRDefault="00A46BD7" w:rsidP="00A46BD7">
      <w:pPr>
        <w:pStyle w:val="EndNoteBibliography"/>
      </w:pPr>
      <w:r w:rsidRPr="00A46BD7">
        <w:t>76.</w:t>
      </w:r>
      <w:r w:rsidRPr="00A46BD7">
        <w:tab/>
        <w:t>National Health Executive. Out of hours care to be integrated with NHS 111 nationalhealthexecutive.com2015 [24/03/2022]. Available from: h</w:t>
      </w:r>
      <w:r w:rsidRPr="003648AA">
        <w:t>ttps://www.nationalhealthexecutive.com/News-Archive/out-of-hours-care-to-be-integrated-with-nhs-111.</w:t>
      </w:r>
      <w:r w:rsidRPr="00A46BD7">
        <w:t xml:space="preserve"> Access date 24/03/2022</w:t>
      </w:r>
    </w:p>
    <w:p w14:paraId="42C0BCE5" w14:textId="77777777" w:rsidR="00A46BD7" w:rsidRPr="00A46BD7" w:rsidRDefault="00A46BD7" w:rsidP="00A46BD7">
      <w:pPr>
        <w:pStyle w:val="EndNoteBibliography"/>
      </w:pPr>
      <w:r w:rsidRPr="00A46BD7">
        <w:t>77.</w:t>
      </w:r>
      <w:r w:rsidRPr="00A46BD7">
        <w:tab/>
        <w:t>NHS Sunderland Clinical Commissioning Group. Sunderland Urgent Care Strategy. UK; 2016.</w:t>
      </w:r>
    </w:p>
    <w:p w14:paraId="570C3E0F" w14:textId="566EA590" w:rsidR="00A46BD7" w:rsidRPr="00A46BD7" w:rsidRDefault="00A46BD7" w:rsidP="00A46BD7">
      <w:pPr>
        <w:pStyle w:val="EndNoteBibliography"/>
      </w:pPr>
      <w:r w:rsidRPr="00A46BD7">
        <w:t>78.</w:t>
      </w:r>
      <w:r w:rsidRPr="00A46BD7">
        <w:tab/>
        <w:t>Southampton City Council. The future of urgent and emergency care Southampton, UK2021 [24/03/2022]. Available from: h</w:t>
      </w:r>
      <w:r w:rsidRPr="003648AA">
        <w:t>ttps://www.southampton.gov.uk/modernGov/documents/s27172/ITEM%208.3_Annex%20C%20-%20Summary%20of%20NHS%20England%20Review%20on%20the%20future%20of%20urgent%20care.pdf.pdf;</w:t>
      </w:r>
      <w:r w:rsidRPr="00A46BD7">
        <w:t xml:space="preserve"> . Access date 24/03/2022</w:t>
      </w:r>
    </w:p>
    <w:p w14:paraId="5E3F573A" w14:textId="77777777" w:rsidR="00A46BD7" w:rsidRPr="00A46BD7" w:rsidRDefault="00A46BD7" w:rsidP="00A46BD7">
      <w:pPr>
        <w:pStyle w:val="EndNoteBibliography"/>
      </w:pPr>
      <w:r w:rsidRPr="00A46BD7">
        <w:t>79.</w:t>
      </w:r>
      <w:r w:rsidRPr="00A46BD7">
        <w:tab/>
        <w:t>Buckinghamshire  County  Council, Health  and  Adult  Social  Care  Select Committee. Urgent Care An  inquiry  into  the  design  of  the  local urgent  care  pathway, and public understanding of it in Buckinghamshire. UK; 2014.</w:t>
      </w:r>
    </w:p>
    <w:p w14:paraId="43BBAD07" w14:textId="77777777" w:rsidR="00A46BD7" w:rsidRPr="00A46BD7" w:rsidRDefault="00A46BD7" w:rsidP="00A46BD7">
      <w:pPr>
        <w:pStyle w:val="EndNoteBibliography"/>
      </w:pPr>
      <w:r w:rsidRPr="00A46BD7">
        <w:t>80.</w:t>
      </w:r>
      <w:r w:rsidRPr="00A46BD7">
        <w:tab/>
        <w:t>Turnbull J, McKenna G, Prichard J, Rogers A, Crouch R, Lennon A, et al. Sense-making strategies and help-seeking behaviours associated with urgent care services: a mixed-methods study. 2019;7:26.</w:t>
      </w:r>
    </w:p>
    <w:p w14:paraId="7D6C31C9" w14:textId="63F68E2E" w:rsidR="00A46BD7" w:rsidRPr="00A46BD7" w:rsidRDefault="00A46BD7" w:rsidP="00A46BD7">
      <w:pPr>
        <w:pStyle w:val="EndNoteBibliography"/>
      </w:pPr>
      <w:r w:rsidRPr="00A46BD7">
        <w:t>81.</w:t>
      </w:r>
      <w:r w:rsidRPr="00A46BD7">
        <w:tab/>
        <w:t>East Riding of Yorkshire CCG. Urgent &amp; Emergency Care poster 2021 [21/01/2021]. Available from: h</w:t>
      </w:r>
      <w:r w:rsidRPr="003648AA">
        <w:t>ttps://www.eastridingofyorkshireccg.nhs.uk/</w:t>
      </w:r>
      <w:r w:rsidRPr="00A46BD7">
        <w:t xml:space="preserve"> Access date </w:t>
      </w:r>
      <w:r w:rsidR="006F7BB9">
        <w:t>22/04/2022</w:t>
      </w:r>
    </w:p>
    <w:p w14:paraId="4A50AED4" w14:textId="5E3EC1A8" w:rsidR="00A46BD7" w:rsidRPr="00A46BD7" w:rsidRDefault="00A46BD7" w:rsidP="00A46BD7">
      <w:pPr>
        <w:pStyle w:val="EndNoteBibliography"/>
      </w:pPr>
      <w:r w:rsidRPr="00A46BD7">
        <w:t>82.</w:t>
      </w:r>
      <w:r w:rsidRPr="00A46BD7">
        <w:tab/>
        <w:t xml:space="preserve">O’Cathain A, Knowles E, Long J, Connell J, Bishop-Edwards L, Simpson R, et al. Drivers of ‘clinically unnecessary’ use of emergency and urgent care: the DEUCE mixed-methods study. </w:t>
      </w:r>
      <w:r w:rsidR="006F7BB9">
        <w:t>Health S</w:t>
      </w:r>
      <w:r w:rsidR="00C606A0">
        <w:t>erv</w:t>
      </w:r>
      <w:r w:rsidR="006F7BB9">
        <w:t xml:space="preserve"> D</w:t>
      </w:r>
      <w:r w:rsidR="00C606A0">
        <w:t>eliv</w:t>
      </w:r>
      <w:r w:rsidR="006F7BB9">
        <w:t xml:space="preserve"> R</w:t>
      </w:r>
      <w:r w:rsidR="00C606A0">
        <w:t>es</w:t>
      </w:r>
      <w:r w:rsidR="006F7BB9">
        <w:t xml:space="preserve"> </w:t>
      </w:r>
      <w:r w:rsidRPr="00A46BD7">
        <w:t>2020;8:15.</w:t>
      </w:r>
    </w:p>
    <w:p w14:paraId="5A95D150" w14:textId="53953858" w:rsidR="00A46BD7" w:rsidRPr="00A46BD7" w:rsidRDefault="00A46BD7" w:rsidP="00A46BD7">
      <w:pPr>
        <w:pStyle w:val="EndNoteBibliography"/>
      </w:pPr>
      <w:r w:rsidRPr="00A46BD7">
        <w:t>83.</w:t>
      </w:r>
      <w:r w:rsidRPr="00A46BD7">
        <w:tab/>
        <w:t>Teign Estuary Medical Group. Did you know that NHS 111 is now available online? 2022 [24/03/2022]. Available from: h</w:t>
      </w:r>
      <w:r w:rsidRPr="003648AA">
        <w:t>ttps://www.teignestuarymedical.co.uk/services/who-should-i-see/did-you-know-111-is-online-460x259/.</w:t>
      </w:r>
      <w:r w:rsidRPr="00A46BD7">
        <w:t xml:space="preserve"> Access date 24/03/2022</w:t>
      </w:r>
    </w:p>
    <w:p w14:paraId="47C04EA0" w14:textId="35B6A2A1" w:rsidR="00A46BD7" w:rsidRPr="00A46BD7" w:rsidRDefault="00A46BD7" w:rsidP="00A46BD7">
      <w:pPr>
        <w:pStyle w:val="EndNoteBibliography"/>
      </w:pPr>
      <w:r w:rsidRPr="00A46BD7">
        <w:t>84.</w:t>
      </w:r>
      <w:r w:rsidRPr="00A46BD7">
        <w:tab/>
        <w:t>BrisDoc Healthcare Services. Dial 111 from a landline or mobile 2022 [24/03/2022]. Available from: h</w:t>
      </w:r>
      <w:r w:rsidRPr="003648AA">
        <w:t>ttps://brisdoc.co.uk/nhs-111/111-call-or-online/.</w:t>
      </w:r>
      <w:r w:rsidRPr="00A46BD7">
        <w:t xml:space="preserve"> Access date 24/03/2022</w:t>
      </w:r>
    </w:p>
    <w:p w14:paraId="73C6F5A0" w14:textId="31D95BEF" w:rsidR="00A46BD7" w:rsidRPr="00A46BD7" w:rsidRDefault="00A46BD7" w:rsidP="00A46BD7">
      <w:pPr>
        <w:pStyle w:val="EndNoteBibliography"/>
      </w:pPr>
      <w:r w:rsidRPr="00A46BD7">
        <w:t>85.</w:t>
      </w:r>
      <w:r w:rsidRPr="00A46BD7">
        <w:tab/>
        <w:t>NHS. When to use 111 w</w:t>
      </w:r>
      <w:r w:rsidRPr="003648AA">
        <w:t>ww.nhs.uk2017</w:t>
      </w:r>
      <w:r w:rsidRPr="00A46BD7">
        <w:t xml:space="preserve"> [24/03/2022]. Available from: h</w:t>
      </w:r>
      <w:r w:rsidRPr="003648AA">
        <w:t>ttps://www.nhs.uk/nhs-services/urgent-and-emergency-care-services/when-to-use-111/.</w:t>
      </w:r>
      <w:r w:rsidRPr="00A46BD7">
        <w:t xml:space="preserve"> Access date 24/03/2022</w:t>
      </w:r>
    </w:p>
    <w:p w14:paraId="06C4B969" w14:textId="0BB09B21" w:rsidR="00A46BD7" w:rsidRPr="00A46BD7" w:rsidRDefault="00A46BD7" w:rsidP="00A46BD7">
      <w:pPr>
        <w:pStyle w:val="EndNoteBibliography"/>
      </w:pPr>
      <w:r w:rsidRPr="00A46BD7">
        <w:t>86.</w:t>
      </w:r>
      <w:r w:rsidRPr="00A46BD7">
        <w:tab/>
        <w:t>NHS England. About NHS 111 England.nhs.uk2020 [24/03/2022]. Available from: h</w:t>
      </w:r>
      <w:r w:rsidRPr="003648AA">
        <w:t>ttps://www.england.nhs.uk/urgent-emergency-care/nhs-111/accessing-nhs-111/.</w:t>
      </w:r>
      <w:r w:rsidRPr="00A46BD7">
        <w:t xml:space="preserve"> Access date 24/03/2022</w:t>
      </w:r>
    </w:p>
    <w:p w14:paraId="7D47810F" w14:textId="6FC36019" w:rsidR="00A46BD7" w:rsidRPr="00A46BD7" w:rsidRDefault="00A46BD7" w:rsidP="00A46BD7">
      <w:pPr>
        <w:pStyle w:val="EndNoteBibliography"/>
      </w:pPr>
      <w:r w:rsidRPr="00A46BD7">
        <w:t>87.</w:t>
      </w:r>
      <w:r w:rsidRPr="00A46BD7">
        <w:tab/>
        <w:t>NHS Digital. NHS 111 online is a Class 1 medical device 2019 [24/03/2022]. Available from: h</w:t>
      </w:r>
      <w:r w:rsidRPr="003648AA">
        <w:t>ttps://digital.nhs.uk/services/nhs-111-online/nhs-111-online-is-a-class-1-medical-device.</w:t>
      </w:r>
      <w:r w:rsidRPr="00A46BD7">
        <w:t xml:space="preserve"> Access date 23/04/2022</w:t>
      </w:r>
    </w:p>
    <w:p w14:paraId="09FE03A0" w14:textId="004283B5" w:rsidR="00A46BD7" w:rsidRPr="00A46BD7" w:rsidRDefault="00A46BD7" w:rsidP="00A46BD7">
      <w:pPr>
        <w:pStyle w:val="EndNoteBibliography"/>
      </w:pPr>
      <w:r w:rsidRPr="00A46BD7">
        <w:t>88.</w:t>
      </w:r>
      <w:r w:rsidRPr="00A46BD7">
        <w:tab/>
        <w:t>NHS. Digital First Primary Care  [24/03/2022]. Available from: h</w:t>
      </w:r>
      <w:r w:rsidRPr="003648AA">
        <w:t>ttps://www.england.nhs.uk/gp/digital-first-primary-care/.</w:t>
      </w:r>
      <w:r w:rsidRPr="00A46BD7">
        <w:t xml:space="preserve"> Access date 24/03/2022</w:t>
      </w:r>
    </w:p>
    <w:p w14:paraId="08924530" w14:textId="22FDE728" w:rsidR="00A46BD7" w:rsidRPr="00A46BD7" w:rsidRDefault="00A46BD7" w:rsidP="00A46BD7">
      <w:pPr>
        <w:pStyle w:val="EndNoteBibliography"/>
      </w:pPr>
      <w:r w:rsidRPr="00A46BD7">
        <w:t>89.</w:t>
      </w:r>
      <w:r w:rsidRPr="00A46BD7">
        <w:tab/>
        <w:t>Healthdirect Australia. Our history 2021 [24/03/2022]. Available from: h</w:t>
      </w:r>
      <w:r w:rsidRPr="003648AA">
        <w:t>ttps://about.healthdirect.gov.au/our-history.</w:t>
      </w:r>
      <w:r w:rsidRPr="00A46BD7">
        <w:t xml:space="preserve"> Access date 24/03/2022</w:t>
      </w:r>
    </w:p>
    <w:p w14:paraId="6700B2E0" w14:textId="52CF2EB2" w:rsidR="00A46BD7" w:rsidRPr="00A46BD7" w:rsidRDefault="00A46BD7" w:rsidP="00A46BD7">
      <w:pPr>
        <w:pStyle w:val="EndNoteBibliography"/>
      </w:pPr>
      <w:r w:rsidRPr="00A46BD7">
        <w:t>90.</w:t>
      </w:r>
      <w:r w:rsidRPr="00A46BD7">
        <w:tab/>
        <w:t>Healthdirect Australia. About our content 2019 [24/03/2022]. Available from: h</w:t>
      </w:r>
      <w:r w:rsidRPr="003648AA">
        <w:t>ttps://www.healthdirect.gov.au/about-our-content.</w:t>
      </w:r>
      <w:r w:rsidRPr="00A46BD7">
        <w:t xml:space="preserve"> Access date 24/03/2022</w:t>
      </w:r>
    </w:p>
    <w:p w14:paraId="5D122E4B" w14:textId="42B04091" w:rsidR="00A46BD7" w:rsidRPr="00A46BD7" w:rsidRDefault="00A46BD7" w:rsidP="00A46BD7">
      <w:pPr>
        <w:pStyle w:val="EndNoteBibliography"/>
      </w:pPr>
      <w:r w:rsidRPr="00A46BD7">
        <w:t>91.</w:t>
      </w:r>
      <w:r w:rsidRPr="00A46BD7">
        <w:tab/>
        <w:t>Healthdirect Australia. About healthdirect 2021 [24/03/2022]. Available from: h</w:t>
      </w:r>
      <w:r w:rsidRPr="003648AA">
        <w:t>ttps://about.healthdirect.gov.au/healthdirect.</w:t>
      </w:r>
      <w:r w:rsidRPr="00A46BD7">
        <w:t xml:space="preserve"> Access date 24/03/2022</w:t>
      </w:r>
    </w:p>
    <w:p w14:paraId="59B57CCC" w14:textId="77777777" w:rsidR="00A46BD7" w:rsidRPr="00A46BD7" w:rsidRDefault="00A46BD7" w:rsidP="00A46BD7">
      <w:pPr>
        <w:pStyle w:val="EndNoteBibliography"/>
      </w:pPr>
      <w:r w:rsidRPr="00A46BD7">
        <w:t>92.</w:t>
      </w:r>
      <w:r w:rsidRPr="00A46BD7">
        <w:tab/>
        <w:t>Public Health England, UCL Institute of Health Equity. Local  action  on health inequalities. Improving health literacy  to reduce health inequalities UK; 2015.</w:t>
      </w:r>
    </w:p>
    <w:p w14:paraId="634DD975" w14:textId="77777777" w:rsidR="00A46BD7" w:rsidRPr="00A46BD7" w:rsidRDefault="00A46BD7" w:rsidP="00A46BD7">
      <w:pPr>
        <w:pStyle w:val="EndNoteBibliography"/>
      </w:pPr>
      <w:r w:rsidRPr="00A46BD7">
        <w:t>93.</w:t>
      </w:r>
      <w:r w:rsidRPr="00A46BD7">
        <w:tab/>
        <w:t>Gray DM, II, Joseph JJ, Olayiwola JN. Strategies for Digital Care of Vulnerable Patients in a COVID-19 World—Keeping in Touch. JAMA Health Forum. 2020;1(6):e200734-e.</w:t>
      </w:r>
    </w:p>
    <w:p w14:paraId="1487E2D6" w14:textId="77777777" w:rsidR="00A46BD7" w:rsidRPr="00A46BD7" w:rsidRDefault="00A46BD7" w:rsidP="00A46BD7">
      <w:pPr>
        <w:pStyle w:val="EndNoteBibliography"/>
      </w:pPr>
      <w:r w:rsidRPr="00A46BD7">
        <w:t>94.</w:t>
      </w:r>
      <w:r w:rsidRPr="00A46BD7">
        <w:tab/>
        <w:t>O’Connor S, Hanlon P, O’Donnell CA, Garcia S, Glanville J, Mair FS. Understanding factors affecting patient and public engagement and recruitment to digital health interventions: a systematic review of qualitative studies. BMC Medical Informatics and Decision Making. 2016;16(1):120.</w:t>
      </w:r>
    </w:p>
    <w:p w14:paraId="0CC6D417" w14:textId="77777777" w:rsidR="00A46BD7" w:rsidRPr="00A46BD7" w:rsidRDefault="00A46BD7" w:rsidP="00A46BD7">
      <w:pPr>
        <w:pStyle w:val="EndNoteBibliography"/>
      </w:pPr>
      <w:r w:rsidRPr="00A46BD7">
        <w:t>95.</w:t>
      </w:r>
      <w:r w:rsidRPr="00A46BD7">
        <w:tab/>
        <w:t>Nölke L, Mensing M, Krämer A, Hornberg C. Sociodemographic and health-(care-)related characteristics of online health information seekers: a cross-sectional German study. BMC Public Health. 2015;15(1):31.</w:t>
      </w:r>
    </w:p>
    <w:p w14:paraId="50DB7654" w14:textId="77777777" w:rsidR="00A46BD7" w:rsidRPr="00A46BD7" w:rsidRDefault="00A46BD7" w:rsidP="00A46BD7">
      <w:pPr>
        <w:pStyle w:val="EndNoteBibliography"/>
      </w:pPr>
      <w:r w:rsidRPr="00A46BD7">
        <w:t>96.</w:t>
      </w:r>
      <w:r w:rsidRPr="00A46BD7">
        <w:tab/>
        <w:t>Tennant B, Stellefson M, Dodd V, Chaney B, Chaney D, Paige S, et al. eHealth Literacy and Web 2.0 Health Information Seeking Behaviors Among Baby Boomers and Older Adults. J Med Internet Res. 2015;17(3):e70.</w:t>
      </w:r>
    </w:p>
    <w:p w14:paraId="65F6DD49" w14:textId="77777777" w:rsidR="00A46BD7" w:rsidRPr="00A46BD7" w:rsidRDefault="00A46BD7" w:rsidP="00A46BD7">
      <w:pPr>
        <w:pStyle w:val="EndNoteBibliography"/>
      </w:pPr>
      <w:r w:rsidRPr="00A46BD7">
        <w:t>97.</w:t>
      </w:r>
      <w:r w:rsidRPr="00A46BD7">
        <w:tab/>
        <w:t>Estacio EV, Whittle R, Protheroe J. The digital divide: Examining socio-demographic factors associated with health literacy, access and use of internet to seek health information. Journal of Health Psychology. 2019;24(12):1668-75.</w:t>
      </w:r>
    </w:p>
    <w:p w14:paraId="54422AE9" w14:textId="77777777" w:rsidR="00A46BD7" w:rsidRPr="00A46BD7" w:rsidRDefault="00A46BD7" w:rsidP="00A46BD7">
      <w:pPr>
        <w:pStyle w:val="EndNoteBibliography"/>
      </w:pPr>
      <w:r w:rsidRPr="00A46BD7">
        <w:t>98.</w:t>
      </w:r>
      <w:r w:rsidRPr="00A46BD7">
        <w:tab/>
        <w:t>Reiners F, Sturm J, Bouw LJW, Wouters EJM. Sociodemographic Factors Influencing the Use of eHealth in People with Chronic Diseases. International Journal of Environmental Research and Public Health. 2019;16(4).</w:t>
      </w:r>
    </w:p>
    <w:p w14:paraId="7AB7C52B" w14:textId="77777777" w:rsidR="00A46BD7" w:rsidRPr="00A46BD7" w:rsidRDefault="00A46BD7" w:rsidP="00A46BD7">
      <w:pPr>
        <w:pStyle w:val="EndNoteBibliography"/>
      </w:pPr>
      <w:r w:rsidRPr="00A46BD7">
        <w:t>99.</w:t>
      </w:r>
      <w:r w:rsidRPr="00A46BD7">
        <w:tab/>
        <w:t>Trubitt M, Alozie O, Shokar G, Flores S, Shokar NK. Patterns and Correlates of Internet Use, Cell Phone Use, and Attitudes Toward Patient Portals Among a Predominantly Mexican-American Clinic Population. Telemedicine and e-Health. 2018;24(11):861-9.</w:t>
      </w:r>
    </w:p>
    <w:p w14:paraId="5EED5741" w14:textId="77777777" w:rsidR="00A46BD7" w:rsidRPr="00A46BD7" w:rsidRDefault="00A46BD7" w:rsidP="00A46BD7">
      <w:pPr>
        <w:pStyle w:val="EndNoteBibliography"/>
      </w:pPr>
      <w:r w:rsidRPr="00A46BD7">
        <w:t>100.</w:t>
      </w:r>
      <w:r w:rsidRPr="00A46BD7">
        <w:tab/>
        <w:t>Nymberg VM, Bolmsjö BB, Wolff M, Calling S, Gerward S, Sandberg M. ‘Having to learn this so late in our lives…’ Swedish elderly patients’ beliefs, experiences, attitudes and expectations of e-health in primary health care. Scandinavian Journal of Primary Health Care. 2019;37(1):41-52.</w:t>
      </w:r>
    </w:p>
    <w:p w14:paraId="7B874D50" w14:textId="77777777" w:rsidR="00A46BD7" w:rsidRPr="00A46BD7" w:rsidRDefault="00A46BD7" w:rsidP="00A46BD7">
      <w:pPr>
        <w:pStyle w:val="EndNoteBibliography"/>
      </w:pPr>
      <w:r w:rsidRPr="00A46BD7">
        <w:t>101.</w:t>
      </w:r>
      <w:r w:rsidRPr="00A46BD7">
        <w:tab/>
        <w:t>Kontos E, Blake KD, Chou W-YS, Prestin A. Predictors of eHealth Usage: Insights on The Digital Divide From the Health Information National Trends Survey 2012. J Med Internet Res. 2014;16(7):e172.</w:t>
      </w:r>
    </w:p>
    <w:p w14:paraId="626EA6C6" w14:textId="77777777" w:rsidR="00A46BD7" w:rsidRPr="00A46BD7" w:rsidRDefault="00A46BD7" w:rsidP="00A46BD7">
      <w:pPr>
        <w:pStyle w:val="EndNoteBibliography"/>
      </w:pPr>
      <w:r w:rsidRPr="00A46BD7">
        <w:t>102.</w:t>
      </w:r>
      <w:r w:rsidRPr="00A46BD7">
        <w:tab/>
        <w:t>Vicente MR, Madden G. Assessing eHealth skills across Europeans. Health Policy and Technology. 2017;6(2):161-8.</w:t>
      </w:r>
    </w:p>
    <w:p w14:paraId="5DB63EDD" w14:textId="77777777" w:rsidR="00A46BD7" w:rsidRPr="00A46BD7" w:rsidRDefault="00A46BD7" w:rsidP="00A46BD7">
      <w:pPr>
        <w:pStyle w:val="EndNoteBibliography"/>
      </w:pPr>
      <w:r w:rsidRPr="00A46BD7">
        <w:t>103.</w:t>
      </w:r>
      <w:r w:rsidRPr="00A46BD7">
        <w:tab/>
        <w:t>Hone T, Palladino R, Filippidis FT. Association of searching for health-related information online with self-rated health in the European Union. European Journal of Public Health. 2016;26(5):748-53.</w:t>
      </w:r>
    </w:p>
    <w:p w14:paraId="3EE0FF88" w14:textId="77777777" w:rsidR="00A46BD7" w:rsidRPr="00A46BD7" w:rsidRDefault="00A46BD7" w:rsidP="00A46BD7">
      <w:pPr>
        <w:pStyle w:val="EndNoteBibliography"/>
      </w:pPr>
      <w:r w:rsidRPr="00A46BD7">
        <w:t>104.</w:t>
      </w:r>
      <w:r w:rsidRPr="00A46BD7">
        <w:tab/>
        <w:t>Wong DK-K, Cheung M-K. Online Health Information Seeking and eHealth Literacy Among Patients Attending a Primary Care Clinic in Hong Kong: A Cross-Sectional Survey. J Med Internet Res. 2019;21(3):e10831.</w:t>
      </w:r>
    </w:p>
    <w:p w14:paraId="1FF5B2A6" w14:textId="77777777" w:rsidR="00A46BD7" w:rsidRPr="00A46BD7" w:rsidRDefault="00A46BD7" w:rsidP="00A46BD7">
      <w:pPr>
        <w:pStyle w:val="EndNoteBibliography"/>
      </w:pPr>
      <w:r w:rsidRPr="00A46BD7">
        <w:t>105.</w:t>
      </w:r>
      <w:r w:rsidRPr="00A46BD7">
        <w:tab/>
        <w:t>Berkman ND, Sheridan SL, Donahue KE, Halpern DJ, Viera A, Crotty K, et al. Health literacy interventions and outcomes: an updated systematic review. Evid Rep Technol Assess (Full Rep). 2011(199):1-941.</w:t>
      </w:r>
    </w:p>
    <w:p w14:paraId="533A7A59" w14:textId="77777777" w:rsidR="00A46BD7" w:rsidRPr="00350BF0" w:rsidRDefault="00A46BD7" w:rsidP="00A46BD7">
      <w:pPr>
        <w:pStyle w:val="EndNoteBibliography"/>
        <w:rPr>
          <w:lang w:val="it-IT"/>
        </w:rPr>
      </w:pPr>
      <w:r w:rsidRPr="00A46BD7">
        <w:t>106.</w:t>
      </w:r>
      <w:r w:rsidRPr="00A46BD7">
        <w:tab/>
        <w:t xml:space="preserve">Norman CD, Skinner HA. eHealth Literacy: Essential Skills for Consumer Health in a Networked World. </w:t>
      </w:r>
      <w:r w:rsidRPr="00350BF0">
        <w:rPr>
          <w:lang w:val="it-IT"/>
        </w:rPr>
        <w:t>J Med Internet Res. 2006;8(2):e9.</w:t>
      </w:r>
    </w:p>
    <w:p w14:paraId="36542993" w14:textId="77777777" w:rsidR="00A46BD7" w:rsidRPr="00A46BD7" w:rsidRDefault="00A46BD7" w:rsidP="00A46BD7">
      <w:pPr>
        <w:pStyle w:val="EndNoteBibliography"/>
      </w:pPr>
      <w:r w:rsidRPr="00350BF0">
        <w:rPr>
          <w:lang w:val="it-IT"/>
        </w:rPr>
        <w:t>107.</w:t>
      </w:r>
      <w:r w:rsidRPr="00350BF0">
        <w:rPr>
          <w:lang w:val="it-IT"/>
        </w:rPr>
        <w:tab/>
        <w:t xml:space="preserve">Del Giudice P, Bravo G, Poletto M, De Odorico A, Conte A, Brunelli L, et al. </w:t>
      </w:r>
      <w:r w:rsidRPr="00A46BD7">
        <w:t>Correlation Between eHealth Literacy and Health Literacy Using the eHealth Literacy Scale and Real-Life Experiences in the Health Sector as a Proxy Measure of Functional Health Literacy: Cross-Sectional Web-Based Survey. J Med Internet Res. 2018;20(10):e281.</w:t>
      </w:r>
    </w:p>
    <w:p w14:paraId="54C62132" w14:textId="77777777" w:rsidR="00A46BD7" w:rsidRPr="00A46BD7" w:rsidRDefault="00A46BD7" w:rsidP="00A46BD7">
      <w:pPr>
        <w:pStyle w:val="EndNoteBibliography"/>
      </w:pPr>
      <w:r w:rsidRPr="00A46BD7">
        <w:t>108.</w:t>
      </w:r>
      <w:r w:rsidRPr="00A46BD7">
        <w:tab/>
        <w:t>Levin-Zamir D, Bertschi I. Media Health Literacy, eHealth Literacy, and the Role of the Social Environment in Context. International Journal of Environmental Research and Public Health. 2018;15(8).</w:t>
      </w:r>
    </w:p>
    <w:p w14:paraId="3DF54933" w14:textId="77777777" w:rsidR="00A46BD7" w:rsidRPr="00A46BD7" w:rsidRDefault="00A46BD7" w:rsidP="00A46BD7">
      <w:pPr>
        <w:pStyle w:val="EndNoteBibliography"/>
      </w:pPr>
      <w:r w:rsidRPr="00A46BD7">
        <w:t>109.</w:t>
      </w:r>
      <w:r w:rsidRPr="00A46BD7">
        <w:tab/>
        <w:t>Link E, Baumann E, Linn A, Fahr A, Schulz PJ, Abuzahra ME. Influencing Factors of Online Health Information Seeking in Selected European Countries: Analysis of Country Specifics. European Journal of Health Communication. 2021;2(1):29-55.</w:t>
      </w:r>
    </w:p>
    <w:p w14:paraId="1AE0CF80" w14:textId="77777777" w:rsidR="00A46BD7" w:rsidRPr="00A46BD7" w:rsidRDefault="00A46BD7" w:rsidP="00A46BD7">
      <w:pPr>
        <w:pStyle w:val="EndNoteBibliography"/>
      </w:pPr>
      <w:r w:rsidRPr="00A46BD7">
        <w:t>110.</w:t>
      </w:r>
      <w:r w:rsidRPr="00A46BD7">
        <w:tab/>
        <w:t>Echt KV, Burridge AB. Predictors of Reported Internet Use in Older Adults with High and Low Health Literacy: The Role of Socio-Demographics and Visual and Cognitive Function. Physical &amp; Occupational Therapy In Geriatrics. 2011;29(1):23-43.</w:t>
      </w:r>
    </w:p>
    <w:p w14:paraId="5E68C92E" w14:textId="77777777" w:rsidR="00A46BD7" w:rsidRPr="00A46BD7" w:rsidRDefault="00A46BD7" w:rsidP="00A46BD7">
      <w:pPr>
        <w:pStyle w:val="EndNoteBibliography"/>
      </w:pPr>
      <w:r w:rsidRPr="00A46BD7">
        <w:t>111.</w:t>
      </w:r>
      <w:r w:rsidRPr="00A46BD7">
        <w:tab/>
        <w:t>Kobayashi LC, Wardle J, von Wagner C. Internet use, social engagement and health literacy decline during ageing in a longitudinal cohort of older English adults. Journal of Epidemiology and Community Health. 2015;69(3):278.</w:t>
      </w:r>
    </w:p>
    <w:p w14:paraId="55886EBC" w14:textId="77777777" w:rsidR="00A46BD7" w:rsidRPr="00A46BD7" w:rsidRDefault="00A46BD7" w:rsidP="00A46BD7">
      <w:pPr>
        <w:pStyle w:val="EndNoteBibliography"/>
      </w:pPr>
      <w:r w:rsidRPr="00A46BD7">
        <w:t>112.</w:t>
      </w:r>
      <w:r w:rsidRPr="00A46BD7">
        <w:tab/>
        <w:t>Neter E, Brainin E. eHealth Literacy: Extending the Digital Divide to the Realm of Health Information. J Med Internet Res. 2012;14(1):e19.</w:t>
      </w:r>
    </w:p>
    <w:p w14:paraId="65CC5B73" w14:textId="77777777" w:rsidR="00A46BD7" w:rsidRPr="00A46BD7" w:rsidRDefault="00A46BD7" w:rsidP="00A46BD7">
      <w:pPr>
        <w:pStyle w:val="EndNoteBibliography"/>
      </w:pPr>
      <w:r w:rsidRPr="00A46BD7">
        <w:t>113.</w:t>
      </w:r>
      <w:r w:rsidRPr="00A46BD7">
        <w:tab/>
        <w:t>Choi NG, DiNitto DM. The Digital Divide Among Low-Income Homebound Older Adults: Internet Use Patterns, eHealth Literacy, and Attitudes Toward Computer/Internet Use. J Med Internet Res. 2013;15(5):e93.</w:t>
      </w:r>
    </w:p>
    <w:p w14:paraId="49CF354E" w14:textId="77777777" w:rsidR="00A46BD7" w:rsidRPr="00A46BD7" w:rsidRDefault="00A46BD7" w:rsidP="00A46BD7">
      <w:pPr>
        <w:pStyle w:val="EndNoteBibliography"/>
      </w:pPr>
      <w:r w:rsidRPr="00A46BD7">
        <w:t>114.</w:t>
      </w:r>
      <w:r w:rsidRPr="00A46BD7">
        <w:tab/>
        <w:t>Park H, Lee E. Self-reported eHealth literacy among undergraduate nursing students in South Korea: A pilot study. Nurse Education Today. 2015;35(2):408-13.</w:t>
      </w:r>
    </w:p>
    <w:p w14:paraId="0FDB3411" w14:textId="77777777" w:rsidR="00A46BD7" w:rsidRPr="00A46BD7" w:rsidRDefault="00A46BD7" w:rsidP="00A46BD7">
      <w:pPr>
        <w:pStyle w:val="EndNoteBibliography"/>
      </w:pPr>
      <w:r w:rsidRPr="00A46BD7">
        <w:t>115.</w:t>
      </w:r>
      <w:r w:rsidRPr="00A46BD7">
        <w:tab/>
        <w:t>Tubaishat A, Habiballah L. eHealth literacy among undergraduate nursing students. Nurse Education Today. 2016;42:47-52.</w:t>
      </w:r>
    </w:p>
    <w:p w14:paraId="36547A0C" w14:textId="77777777" w:rsidR="00A46BD7" w:rsidRPr="00A46BD7" w:rsidRDefault="00A46BD7" w:rsidP="00A46BD7">
      <w:pPr>
        <w:pStyle w:val="EndNoteBibliography"/>
      </w:pPr>
      <w:r w:rsidRPr="00A46BD7">
        <w:t>116.</w:t>
      </w:r>
      <w:r w:rsidRPr="00A46BD7">
        <w:tab/>
        <w:t>Rathnayake S, Senevirathna A. Self-reported eHealth literacy skills among nursing students in Sri Lanka: A cross-sectional study. Nurse Education Today. 2019;78:50-6.</w:t>
      </w:r>
    </w:p>
    <w:p w14:paraId="2EBC6319" w14:textId="77777777" w:rsidR="00A46BD7" w:rsidRPr="00A46BD7" w:rsidRDefault="00A46BD7" w:rsidP="00A46BD7">
      <w:pPr>
        <w:pStyle w:val="EndNoteBibliography"/>
      </w:pPr>
      <w:r w:rsidRPr="00A46BD7">
        <w:t>117.</w:t>
      </w:r>
      <w:r w:rsidRPr="00A46BD7">
        <w:tab/>
        <w:t>Guo Z, Zhao SZ, Guo N, Wu Y, Weng X, Wong JY-H, et al. Socioeconomic Disparities in eHealth Literacy and Preventive Behaviors During the COVID-19 Pandemic in Hong Kong: Cross-sectional Study. J Med Internet Res. 2021;23(4):e24577.</w:t>
      </w:r>
    </w:p>
    <w:p w14:paraId="08A31B1C" w14:textId="77777777" w:rsidR="00A46BD7" w:rsidRPr="00A46BD7" w:rsidRDefault="00A46BD7" w:rsidP="00A46BD7">
      <w:pPr>
        <w:pStyle w:val="EndNoteBibliography"/>
      </w:pPr>
      <w:r w:rsidRPr="00A46BD7">
        <w:t>118.</w:t>
      </w:r>
      <w:r w:rsidRPr="00A46BD7">
        <w:tab/>
        <w:t>NHS England. Five Year Forward View. UK; 2014.</w:t>
      </w:r>
    </w:p>
    <w:p w14:paraId="0F0312F8" w14:textId="77777777" w:rsidR="00A46BD7" w:rsidRPr="00A46BD7" w:rsidRDefault="00A46BD7" w:rsidP="00A46BD7">
      <w:pPr>
        <w:pStyle w:val="EndNoteBibliography"/>
      </w:pPr>
      <w:r w:rsidRPr="00A46BD7">
        <w:t>119.</w:t>
      </w:r>
      <w:r w:rsidRPr="00A46BD7">
        <w:tab/>
        <w:t>Scantlebury R, Rowlands G, Durbaba S, Schofield P, Sidhu K, Ashworth M. Socioeconomic deprivation and accident and emergency attendances: cross-sectional analysis of general practices in England. Br J Gen Pract. 2015;65(639):e649-54.</w:t>
      </w:r>
    </w:p>
    <w:p w14:paraId="391A1BA8" w14:textId="77777777" w:rsidR="00A46BD7" w:rsidRPr="00A46BD7" w:rsidRDefault="00A46BD7" w:rsidP="00A46BD7">
      <w:pPr>
        <w:pStyle w:val="EndNoteBibliography"/>
      </w:pPr>
      <w:r w:rsidRPr="00A46BD7">
        <w:t>120.</w:t>
      </w:r>
      <w:r w:rsidRPr="00A46BD7">
        <w:tab/>
        <w:t>Jansen T, Rademakers J, Waverijn G, Verheij R, Osborne R, Heijmans M. The role of health literacy in explaining the association between educational attainment and the use of out-of-hours primary care services in chronically ill people: a survey study. BMC Health Services Research. 2018;18(1):394.</w:t>
      </w:r>
    </w:p>
    <w:p w14:paraId="3FE2AE9D" w14:textId="77777777" w:rsidR="00A46BD7" w:rsidRPr="00A46BD7" w:rsidRDefault="00A46BD7" w:rsidP="00A46BD7">
      <w:pPr>
        <w:pStyle w:val="EndNoteBibliography"/>
      </w:pPr>
      <w:r w:rsidRPr="00A46BD7">
        <w:t>121.</w:t>
      </w:r>
      <w:r w:rsidRPr="00A46BD7">
        <w:tab/>
        <w:t>Griffey RT, Kennedy SK, McGownan L, Goodman M, Kaphingst KA. Is Low Health Literacy Associated With Increased Emergency Department Utilization and Recidivism? Academic Emergency Medicine. 2014;21(10):1109-15.</w:t>
      </w:r>
    </w:p>
    <w:p w14:paraId="2223B311" w14:textId="77777777" w:rsidR="00A46BD7" w:rsidRPr="00A46BD7" w:rsidRDefault="00A46BD7" w:rsidP="00A46BD7">
      <w:pPr>
        <w:pStyle w:val="EndNoteBibliography"/>
      </w:pPr>
      <w:r w:rsidRPr="00A46BD7">
        <w:t>122.</w:t>
      </w:r>
      <w:r w:rsidRPr="00A46BD7">
        <w:tab/>
        <w:t>Balakrishnan MP, Herndon JB, Zhang J, Payton T, Shuster J, Carden DL. The Association of Health Literacy With Preventable Emergency Department Visits: A Cross-sectional Study. Academic Emergency Medicine. 2017;24(9):1042-50.</w:t>
      </w:r>
    </w:p>
    <w:p w14:paraId="08BB74F8" w14:textId="056AD049" w:rsidR="00A46BD7" w:rsidRPr="00A46BD7" w:rsidRDefault="00A46BD7" w:rsidP="00A46BD7">
      <w:pPr>
        <w:pStyle w:val="EndNoteBibliography"/>
      </w:pPr>
      <w:r w:rsidRPr="00A46BD7">
        <w:t>123.</w:t>
      </w:r>
      <w:r w:rsidRPr="00A46BD7">
        <w:tab/>
        <w:t>Kings Fund. What enabled rapid digital change in primary care during the Covid-19 pandemic? 2021 [24/03/2022]. Available from: h</w:t>
      </w:r>
      <w:r w:rsidRPr="003648AA">
        <w:t>ttps://www.kingsfund.org.uk/blog/2021/02/rapid-digital-change-primary-care-covid-19-pandemic.</w:t>
      </w:r>
      <w:r w:rsidRPr="00A46BD7">
        <w:t xml:space="preserve"> Access date 24/03/2022</w:t>
      </w:r>
    </w:p>
    <w:p w14:paraId="0A5FDD02" w14:textId="77777777" w:rsidR="00A46BD7" w:rsidRPr="00A46BD7" w:rsidRDefault="00A46BD7" w:rsidP="00A46BD7">
      <w:pPr>
        <w:pStyle w:val="EndNoteBibliography"/>
      </w:pPr>
      <w:r w:rsidRPr="00A46BD7">
        <w:t>124.</w:t>
      </w:r>
      <w:r w:rsidRPr="00A46BD7">
        <w:tab/>
        <w:t>Homeniuk R, Collins C. How COVID-19 has affected general practice consultations and income: general practitioner cross-sectional population survey evidence from Ireland. BMJ Open. 2021;11(4):e044685.</w:t>
      </w:r>
    </w:p>
    <w:p w14:paraId="1AAE8A27" w14:textId="55556165" w:rsidR="00A46BD7" w:rsidRPr="00A46BD7" w:rsidRDefault="00A46BD7" w:rsidP="00A46BD7">
      <w:pPr>
        <w:pStyle w:val="EndNoteBibliography"/>
      </w:pPr>
      <w:r w:rsidRPr="00A46BD7">
        <w:t>125.</w:t>
      </w:r>
      <w:r w:rsidRPr="00A46BD7">
        <w:tab/>
        <w:t>NHS Digital. Surge in the number of people using NHS tech during Coronavirus outbreak 2020 [24/03/2022]. Available from: h</w:t>
      </w:r>
      <w:r w:rsidRPr="003648AA">
        <w:t>ttps://digital.nhs.uk/news/2020/increase-in-nhs-tech-usage.</w:t>
      </w:r>
      <w:r w:rsidRPr="00A46BD7">
        <w:t xml:space="preserve"> Access date 24/03/2022</w:t>
      </w:r>
    </w:p>
    <w:p w14:paraId="794A83C3" w14:textId="4C25626F" w:rsidR="00A46BD7" w:rsidRPr="00A46BD7" w:rsidRDefault="00A46BD7" w:rsidP="00A46BD7">
      <w:pPr>
        <w:pStyle w:val="EndNoteBibliography"/>
      </w:pPr>
      <w:r w:rsidRPr="00A46BD7">
        <w:t>126.</w:t>
      </w:r>
      <w:r w:rsidRPr="00A46BD7">
        <w:tab/>
        <w:t>NHS 24 Scotland. NHS 24 2021 [24/03/2022]. Available from: h</w:t>
      </w:r>
      <w:r w:rsidRPr="003648AA">
        <w:t>ttps://www.nhs24.scot/</w:t>
      </w:r>
      <w:r w:rsidRPr="00A46BD7">
        <w:t xml:space="preserve"> Access date </w:t>
      </w:r>
      <w:r w:rsidR="00C606A0">
        <w:t>22/04/2022</w:t>
      </w:r>
    </w:p>
    <w:p w14:paraId="375E1B67" w14:textId="330C3CA0" w:rsidR="00A46BD7" w:rsidRPr="00A46BD7" w:rsidRDefault="00A46BD7" w:rsidP="00A46BD7">
      <w:pPr>
        <w:pStyle w:val="EndNoteBibliography"/>
      </w:pPr>
      <w:r w:rsidRPr="00A46BD7">
        <w:t>127.</w:t>
      </w:r>
      <w:r w:rsidRPr="00A46BD7">
        <w:tab/>
        <w:t>NHS 111 Wales. NHS 111 Wales 2021 [24/03/2022]. Available from: h</w:t>
      </w:r>
      <w:r w:rsidRPr="003648AA">
        <w:t>ttps://111.wales.nhs.uk/</w:t>
      </w:r>
      <w:r w:rsidRPr="00A46BD7">
        <w:t xml:space="preserve"> Access date </w:t>
      </w:r>
      <w:r w:rsidR="00C606A0">
        <w:t>22/04/2022</w:t>
      </w:r>
    </w:p>
    <w:p w14:paraId="199C04CC" w14:textId="77777777" w:rsidR="00A46BD7" w:rsidRPr="00A46BD7" w:rsidRDefault="00A46BD7" w:rsidP="00A46BD7">
      <w:pPr>
        <w:pStyle w:val="EndNoteBibliography"/>
      </w:pPr>
      <w:r w:rsidRPr="00A46BD7">
        <w:t>128.</w:t>
      </w:r>
      <w:r w:rsidRPr="00A46BD7">
        <w:tab/>
        <w:t>Armstrong S. The apps attempting to transfer NHS 111 online. BMJ. 2018;360:k156.</w:t>
      </w:r>
    </w:p>
    <w:p w14:paraId="7FABB726" w14:textId="77777777" w:rsidR="00A46BD7" w:rsidRPr="00A46BD7" w:rsidRDefault="00A46BD7" w:rsidP="00A46BD7">
      <w:pPr>
        <w:pStyle w:val="EndNoteBibliography"/>
      </w:pPr>
      <w:r w:rsidRPr="00A46BD7">
        <w:t>129.</w:t>
      </w:r>
      <w:r w:rsidRPr="00A46BD7">
        <w:tab/>
        <w:t>Turner J, Knowles E, Simpson R, Sampson F, Dixon S, Long J, et al. An Evaluation of the impact of NHS 111 Online on the NHS 111 telephone service and urgent care system. NIHR HS&amp;DR Journals Library. 2021;9(21).</w:t>
      </w:r>
    </w:p>
    <w:p w14:paraId="4217EF95" w14:textId="4CBB213B" w:rsidR="00A46BD7" w:rsidRPr="00A46BD7" w:rsidRDefault="00A46BD7" w:rsidP="00A46BD7">
      <w:pPr>
        <w:pStyle w:val="EndNoteBibliography"/>
      </w:pPr>
      <w:r w:rsidRPr="00A46BD7">
        <w:t>130.</w:t>
      </w:r>
      <w:r w:rsidRPr="00A46BD7">
        <w:tab/>
        <w:t>NHS England. News: NHS 111 prevents more than 12 million unnecessary A&amp;E visits 2019 [24/03/2022]. Available from: h</w:t>
      </w:r>
      <w:r w:rsidRPr="003648AA">
        <w:t>ttps://www.england.nhs.uk/2019/05/nhs-111-prevents-unnecessary-ae-visits/.</w:t>
      </w:r>
      <w:r w:rsidRPr="00A46BD7">
        <w:t xml:space="preserve"> Access date 24/03/2022</w:t>
      </w:r>
    </w:p>
    <w:p w14:paraId="769BF337" w14:textId="77777777" w:rsidR="00A46BD7" w:rsidRPr="00A46BD7" w:rsidRDefault="00A46BD7" w:rsidP="00A46BD7">
      <w:pPr>
        <w:pStyle w:val="EndNoteBibliography"/>
      </w:pPr>
      <w:r w:rsidRPr="00A46BD7">
        <w:t>131.</w:t>
      </w:r>
      <w:r w:rsidRPr="00A46BD7">
        <w:tab/>
        <w:t>Sen B, Clay H, Wright J, Findlay S, Cratchley A. Impact of Emergency Medicine Consultants and Clinical Advisors on a NHS 111 Clinical Assessment Service. Emergency Medicine Journal. 2019;36(4):208.</w:t>
      </w:r>
    </w:p>
    <w:p w14:paraId="7369A6A4" w14:textId="77777777" w:rsidR="00A46BD7" w:rsidRPr="00A46BD7" w:rsidRDefault="00A46BD7" w:rsidP="00A46BD7">
      <w:pPr>
        <w:pStyle w:val="EndNoteBibliography"/>
      </w:pPr>
      <w:r w:rsidRPr="00A46BD7">
        <w:t>132.</w:t>
      </w:r>
      <w:r w:rsidRPr="00A46BD7">
        <w:tab/>
        <w:t>Ng J, Fatovich D, Turner V, Wurmel J, Skevington S, Phillips M. Does contact with healthdirect lead to appropriate use of the emergency department and ambulance services? A prospective, observational study comparing healthdirect, general practitioner and self-referred patients. Emergency Medicine Australasia. 2011;23.</w:t>
      </w:r>
    </w:p>
    <w:p w14:paraId="0047884F" w14:textId="77777777" w:rsidR="00A46BD7" w:rsidRPr="00A46BD7" w:rsidRDefault="00A46BD7" w:rsidP="00A46BD7">
      <w:pPr>
        <w:pStyle w:val="EndNoteBibliography"/>
      </w:pPr>
      <w:r w:rsidRPr="00A46BD7">
        <w:t>133.</w:t>
      </w:r>
      <w:r w:rsidRPr="00A46BD7">
        <w:tab/>
        <w:t>Ng JY, Fatovich DM, Turner VF, Wurmel JA, Skevington SA, Phillips MR. Appropriateness of healthdirect referrals to the emergency department compared with self‐referrals and GP referrals. Medical journal of Australia. 2012;197(9):498-502.</w:t>
      </w:r>
    </w:p>
    <w:p w14:paraId="10191D31" w14:textId="27FC9F2A" w:rsidR="00A46BD7" w:rsidRPr="00A46BD7" w:rsidRDefault="00A46BD7" w:rsidP="00A46BD7">
      <w:pPr>
        <w:pStyle w:val="EndNoteBibliography"/>
      </w:pPr>
      <w:r w:rsidRPr="00A46BD7">
        <w:t>134.</w:t>
      </w:r>
      <w:r w:rsidRPr="00A46BD7">
        <w:tab/>
        <w:t>Pulse Today. GPs in England receive over 250,000 inappropriate NHS 111 referrals per month 2019 [24/03/2022]. Available from: h</w:t>
      </w:r>
      <w:r w:rsidRPr="003648AA">
        <w:t>ttps://www.pulsetoday.co.uk/news/urgent-care/gps-in-england-receive-over-250000-inappropriate-nhs-111-referrals-per-month/.</w:t>
      </w:r>
      <w:r w:rsidRPr="00A46BD7">
        <w:t xml:space="preserve"> Access date 24/03/2022</w:t>
      </w:r>
    </w:p>
    <w:p w14:paraId="3924239B" w14:textId="76B59D11" w:rsidR="00A46BD7" w:rsidRPr="00A46BD7" w:rsidRDefault="00A46BD7" w:rsidP="00A46BD7">
      <w:pPr>
        <w:pStyle w:val="EndNoteBibliography"/>
      </w:pPr>
      <w:r w:rsidRPr="00A46BD7">
        <w:t>135.</w:t>
      </w:r>
      <w:r w:rsidRPr="00A46BD7">
        <w:tab/>
        <w:t>The Argus. Coroner rules Horsham teenager Hannah Royle died after NHS 111 failings 2020 [24/03/2022]. Available from: h</w:t>
      </w:r>
      <w:r w:rsidRPr="003648AA">
        <w:t>ttps://www.theargus.co.uk/news/19671082.coroner-rules-horsham-teenager-hannah-royle-died-nhs-111-failings/.</w:t>
      </w:r>
      <w:r w:rsidRPr="00A46BD7">
        <w:t xml:space="preserve"> Access date 24/03/2022</w:t>
      </w:r>
    </w:p>
    <w:p w14:paraId="7BB532F4" w14:textId="62E31898" w:rsidR="00A46BD7" w:rsidRPr="00A46BD7" w:rsidRDefault="00A46BD7" w:rsidP="00A46BD7">
      <w:pPr>
        <w:pStyle w:val="EndNoteBibliography"/>
      </w:pPr>
      <w:r w:rsidRPr="00A46BD7">
        <w:t>136.</w:t>
      </w:r>
      <w:r w:rsidRPr="00A46BD7">
        <w:tab/>
        <w:t xml:space="preserve">The York Press. Mum and baby in ambulance drama as York maternity unit shuts  [24/03/2022]. Available from: </w:t>
      </w:r>
      <w:r w:rsidRPr="003648AA">
        <w:t>https://www.yorkpress.co.uk/news/19682964.mum-baby-ambulance-drama-york-maternity-unit-shuts/</w:t>
      </w:r>
      <w:r w:rsidRPr="00A46BD7">
        <w:t>. Access date 24/03/2022</w:t>
      </w:r>
    </w:p>
    <w:p w14:paraId="4A3446F2" w14:textId="77777777" w:rsidR="00A46BD7" w:rsidRPr="00A46BD7" w:rsidRDefault="00A46BD7" w:rsidP="00A46BD7">
      <w:pPr>
        <w:pStyle w:val="EndNoteBibliography"/>
      </w:pPr>
      <w:r w:rsidRPr="00A46BD7">
        <w:t>137.</w:t>
      </w:r>
      <w:r w:rsidRPr="00A46BD7">
        <w:tab/>
        <w:t>Hine C. Virtual Ethnography. London: Sage; 2000 2021/11/15.</w:t>
      </w:r>
    </w:p>
    <w:p w14:paraId="5C868B95" w14:textId="77777777" w:rsidR="00A46BD7" w:rsidRPr="00A46BD7" w:rsidRDefault="00A46BD7" w:rsidP="00A46BD7">
      <w:pPr>
        <w:pStyle w:val="EndNoteBibliography"/>
      </w:pPr>
      <w:r w:rsidRPr="00A46BD7">
        <w:t>138.</w:t>
      </w:r>
      <w:r w:rsidRPr="00A46BD7">
        <w:tab/>
        <w:t>Tinati R, Halford S, Carr L, Pope C. Big Data: Methodological Challenges and Approaches for Sociological Analysis. Sociology. 2014;48(4):663-81.</w:t>
      </w:r>
    </w:p>
    <w:p w14:paraId="6262F257" w14:textId="77777777" w:rsidR="00A46BD7" w:rsidRPr="00A46BD7" w:rsidRDefault="00A46BD7" w:rsidP="00A46BD7">
      <w:pPr>
        <w:pStyle w:val="EndNoteBibliography"/>
      </w:pPr>
      <w:r w:rsidRPr="00A46BD7">
        <w:t>139.</w:t>
      </w:r>
      <w:r w:rsidRPr="00A46BD7">
        <w:tab/>
        <w:t>Murthy D. Twitter:  Social Communication in the Twitter Age (second edition): Polity Press, Cambridge; 2018.</w:t>
      </w:r>
    </w:p>
    <w:p w14:paraId="2F0DC542" w14:textId="1FAD7AE6" w:rsidR="008F36F5" w:rsidRPr="00E82074" w:rsidRDefault="00A46BD7" w:rsidP="00A501B2">
      <w:pPr>
        <w:pStyle w:val="EndNoteBibliography"/>
      </w:pPr>
      <w:r w:rsidRPr="00A46BD7">
        <w:t>140.</w:t>
      </w:r>
      <w:r w:rsidRPr="00A46BD7">
        <w:tab/>
        <w:t>Howard PN, Kollanyi B, Woolley S. Bots and Automation over Twitter during the US Election. Computational Propaganda Project: Working Paper Series. 2016:1-5.</w:t>
      </w:r>
    </w:p>
    <w:sectPr w:rsidR="008F36F5" w:rsidRPr="00E82074" w:rsidSect="00A15951">
      <w:footerReference w:type="default" r:id="rId11"/>
      <w:pgSz w:w="11906" w:h="16838"/>
      <w:pgMar w:top="1440" w:right="1133"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ED1C7" w14:textId="77777777" w:rsidR="00551269" w:rsidRDefault="00551269" w:rsidP="005503BE">
      <w:r>
        <w:separator/>
      </w:r>
    </w:p>
    <w:p w14:paraId="46729682" w14:textId="77777777" w:rsidR="00551269" w:rsidRDefault="00551269" w:rsidP="005503BE"/>
  </w:endnote>
  <w:endnote w:type="continuationSeparator" w:id="0">
    <w:p w14:paraId="179A6866" w14:textId="77777777" w:rsidR="00551269" w:rsidRDefault="00551269" w:rsidP="005503BE">
      <w:r>
        <w:continuationSeparator/>
      </w:r>
    </w:p>
    <w:p w14:paraId="19A3D22C" w14:textId="77777777" w:rsidR="00551269" w:rsidRDefault="00551269" w:rsidP="005503BE"/>
  </w:endnote>
  <w:endnote w:type="continuationNotice" w:id="1">
    <w:p w14:paraId="0F098BC2" w14:textId="77777777" w:rsidR="00551269" w:rsidRDefault="00551269" w:rsidP="005503BE"/>
    <w:p w14:paraId="7C435728" w14:textId="77777777" w:rsidR="00551269" w:rsidRDefault="00551269" w:rsidP="005503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Roman">
    <w:altName w:val="Times New Roman"/>
    <w:panose1 w:val="00000500000000020000"/>
    <w:charset w:val="00"/>
    <w:family w:val="auto"/>
    <w:pitch w:val="variable"/>
    <w:sig w:usb0="E00002FF" w:usb1="5000205A" w:usb2="00000000" w:usb3="00000000" w:csb0="0000019F" w:csb1="00000000"/>
  </w:font>
  <w:font w:name="Segoe UI">
    <w:panose1 w:val="020B0502040204020203"/>
    <w:charset w:val="00"/>
    <w:family w:val="swiss"/>
    <w:pitch w:val="variable"/>
    <w:sig w:usb0="E4002EFF" w:usb1="C000E47F" w:usb2="00000009" w:usb3="00000000" w:csb0="000001FF" w:csb1="00000000"/>
  </w:font>
  <w:font w:name="Courier">
    <w:panose1 w:val="00000000000000000000"/>
    <w:charset w:val="00"/>
    <w:family w:val="auto"/>
    <w:notTrueType/>
    <w:pitch w:val="variable"/>
    <w:sig w:usb0="00000003" w:usb1="00000000" w:usb2="00000000" w:usb3="00000000" w:csb0="00000003"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5296293"/>
      <w:docPartObj>
        <w:docPartGallery w:val="Page Numbers (Bottom of Page)"/>
        <w:docPartUnique/>
      </w:docPartObj>
    </w:sdtPr>
    <w:sdtEndPr>
      <w:rPr>
        <w:noProof/>
      </w:rPr>
    </w:sdtEndPr>
    <w:sdtContent>
      <w:p w14:paraId="1F3563DB" w14:textId="2BB8805A" w:rsidR="00C63448" w:rsidRDefault="00C63448">
        <w:pPr>
          <w:pStyle w:val="Footer"/>
          <w:jc w:val="right"/>
        </w:pPr>
        <w:r>
          <w:fldChar w:fldCharType="begin"/>
        </w:r>
        <w:r>
          <w:instrText xml:space="preserve"> PAGE   \* MERGEFORMAT </w:instrText>
        </w:r>
        <w:r>
          <w:fldChar w:fldCharType="separate"/>
        </w:r>
        <w:r w:rsidR="0013525F">
          <w:rPr>
            <w:noProof/>
          </w:rPr>
          <w:t>188</w:t>
        </w:r>
        <w:r>
          <w:rPr>
            <w:noProof/>
          </w:rPr>
          <w:fldChar w:fldCharType="end"/>
        </w:r>
      </w:p>
    </w:sdtContent>
  </w:sdt>
  <w:p w14:paraId="5E448D44" w14:textId="77777777" w:rsidR="00C63448" w:rsidRDefault="00C63448" w:rsidP="005503B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ED039" w14:textId="77777777" w:rsidR="00551269" w:rsidRDefault="00551269" w:rsidP="005503BE">
      <w:r>
        <w:separator/>
      </w:r>
    </w:p>
    <w:p w14:paraId="6A56C81C" w14:textId="77777777" w:rsidR="00551269" w:rsidRDefault="00551269" w:rsidP="005503BE"/>
  </w:footnote>
  <w:footnote w:type="continuationSeparator" w:id="0">
    <w:p w14:paraId="45FEB8A3" w14:textId="77777777" w:rsidR="00551269" w:rsidRDefault="00551269" w:rsidP="005503BE">
      <w:r>
        <w:continuationSeparator/>
      </w:r>
    </w:p>
    <w:p w14:paraId="57FE1264" w14:textId="77777777" w:rsidR="00551269" w:rsidRDefault="00551269" w:rsidP="005503BE"/>
  </w:footnote>
  <w:footnote w:type="continuationNotice" w:id="1">
    <w:p w14:paraId="2E3E5D58" w14:textId="77777777" w:rsidR="00551269" w:rsidRDefault="00551269" w:rsidP="005503BE"/>
    <w:p w14:paraId="298FD49C" w14:textId="77777777" w:rsidR="00551269" w:rsidRDefault="00551269" w:rsidP="005503B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C2805"/>
    <w:multiLevelType w:val="hybridMultilevel"/>
    <w:tmpl w:val="F4A4DD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AA43F6"/>
    <w:multiLevelType w:val="hybridMultilevel"/>
    <w:tmpl w:val="AE9C1C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87B0E83"/>
    <w:multiLevelType w:val="hybridMultilevel"/>
    <w:tmpl w:val="D26E60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8900A97"/>
    <w:multiLevelType w:val="hybridMultilevel"/>
    <w:tmpl w:val="EAC086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DB850E7"/>
    <w:multiLevelType w:val="multilevel"/>
    <w:tmpl w:val="C97ADE72"/>
    <w:lvl w:ilvl="0">
      <w:start w:val="1"/>
      <w:numFmt w:val="bullet"/>
      <w:lvlText w:val=""/>
      <w:lvlJc w:val="left"/>
      <w:pPr>
        <w:tabs>
          <w:tab w:val="num" w:pos="1860"/>
        </w:tabs>
        <w:ind w:left="1860" w:hanging="360"/>
      </w:pPr>
      <w:rPr>
        <w:rFonts w:ascii="Symbol" w:hAnsi="Symbol" w:hint="default"/>
        <w:sz w:val="20"/>
      </w:rPr>
    </w:lvl>
    <w:lvl w:ilvl="1" w:tentative="1">
      <w:start w:val="1"/>
      <w:numFmt w:val="bullet"/>
      <w:lvlText w:val="o"/>
      <w:lvlJc w:val="left"/>
      <w:pPr>
        <w:tabs>
          <w:tab w:val="num" w:pos="2580"/>
        </w:tabs>
        <w:ind w:left="2580" w:hanging="360"/>
      </w:pPr>
      <w:rPr>
        <w:rFonts w:ascii="Courier New" w:hAnsi="Courier New" w:hint="default"/>
        <w:sz w:val="20"/>
      </w:rPr>
    </w:lvl>
    <w:lvl w:ilvl="2" w:tentative="1">
      <w:start w:val="1"/>
      <w:numFmt w:val="bullet"/>
      <w:lvlText w:val=""/>
      <w:lvlJc w:val="left"/>
      <w:pPr>
        <w:tabs>
          <w:tab w:val="num" w:pos="3300"/>
        </w:tabs>
        <w:ind w:left="3300" w:hanging="360"/>
      </w:pPr>
      <w:rPr>
        <w:rFonts w:ascii="Wingdings" w:hAnsi="Wingdings" w:hint="default"/>
        <w:sz w:val="20"/>
      </w:rPr>
    </w:lvl>
    <w:lvl w:ilvl="3" w:tentative="1">
      <w:start w:val="1"/>
      <w:numFmt w:val="bullet"/>
      <w:lvlText w:val=""/>
      <w:lvlJc w:val="left"/>
      <w:pPr>
        <w:tabs>
          <w:tab w:val="num" w:pos="4020"/>
        </w:tabs>
        <w:ind w:left="4020" w:hanging="360"/>
      </w:pPr>
      <w:rPr>
        <w:rFonts w:ascii="Wingdings" w:hAnsi="Wingdings" w:hint="default"/>
        <w:sz w:val="20"/>
      </w:rPr>
    </w:lvl>
    <w:lvl w:ilvl="4" w:tentative="1">
      <w:start w:val="1"/>
      <w:numFmt w:val="bullet"/>
      <w:lvlText w:val=""/>
      <w:lvlJc w:val="left"/>
      <w:pPr>
        <w:tabs>
          <w:tab w:val="num" w:pos="4740"/>
        </w:tabs>
        <w:ind w:left="4740" w:hanging="360"/>
      </w:pPr>
      <w:rPr>
        <w:rFonts w:ascii="Wingdings" w:hAnsi="Wingdings" w:hint="default"/>
        <w:sz w:val="20"/>
      </w:rPr>
    </w:lvl>
    <w:lvl w:ilvl="5" w:tentative="1">
      <w:start w:val="1"/>
      <w:numFmt w:val="bullet"/>
      <w:lvlText w:val=""/>
      <w:lvlJc w:val="left"/>
      <w:pPr>
        <w:tabs>
          <w:tab w:val="num" w:pos="5460"/>
        </w:tabs>
        <w:ind w:left="5460" w:hanging="360"/>
      </w:pPr>
      <w:rPr>
        <w:rFonts w:ascii="Wingdings" w:hAnsi="Wingdings" w:hint="default"/>
        <w:sz w:val="20"/>
      </w:rPr>
    </w:lvl>
    <w:lvl w:ilvl="6" w:tentative="1">
      <w:start w:val="1"/>
      <w:numFmt w:val="bullet"/>
      <w:lvlText w:val=""/>
      <w:lvlJc w:val="left"/>
      <w:pPr>
        <w:tabs>
          <w:tab w:val="num" w:pos="6180"/>
        </w:tabs>
        <w:ind w:left="6180" w:hanging="360"/>
      </w:pPr>
      <w:rPr>
        <w:rFonts w:ascii="Wingdings" w:hAnsi="Wingdings" w:hint="default"/>
        <w:sz w:val="20"/>
      </w:rPr>
    </w:lvl>
    <w:lvl w:ilvl="7" w:tentative="1">
      <w:start w:val="1"/>
      <w:numFmt w:val="bullet"/>
      <w:lvlText w:val=""/>
      <w:lvlJc w:val="left"/>
      <w:pPr>
        <w:tabs>
          <w:tab w:val="num" w:pos="6900"/>
        </w:tabs>
        <w:ind w:left="6900" w:hanging="360"/>
      </w:pPr>
      <w:rPr>
        <w:rFonts w:ascii="Wingdings" w:hAnsi="Wingdings" w:hint="default"/>
        <w:sz w:val="20"/>
      </w:rPr>
    </w:lvl>
    <w:lvl w:ilvl="8" w:tentative="1">
      <w:start w:val="1"/>
      <w:numFmt w:val="bullet"/>
      <w:lvlText w:val=""/>
      <w:lvlJc w:val="left"/>
      <w:pPr>
        <w:tabs>
          <w:tab w:val="num" w:pos="7620"/>
        </w:tabs>
        <w:ind w:left="7620" w:hanging="360"/>
      </w:pPr>
      <w:rPr>
        <w:rFonts w:ascii="Wingdings" w:hAnsi="Wingdings" w:hint="default"/>
        <w:sz w:val="20"/>
      </w:rPr>
    </w:lvl>
  </w:abstractNum>
  <w:abstractNum w:abstractNumId="5" w15:restartNumberingAfterBreak="0">
    <w:nsid w:val="20F63220"/>
    <w:multiLevelType w:val="multilevel"/>
    <w:tmpl w:val="59EE8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DED178F"/>
    <w:multiLevelType w:val="hybridMultilevel"/>
    <w:tmpl w:val="13643B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0B01B33"/>
    <w:multiLevelType w:val="hybridMultilevel"/>
    <w:tmpl w:val="224035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1571121"/>
    <w:multiLevelType w:val="hybridMultilevel"/>
    <w:tmpl w:val="CABE89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7E31EE"/>
    <w:multiLevelType w:val="multilevel"/>
    <w:tmpl w:val="6518C4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B5D10DD"/>
    <w:multiLevelType w:val="hybridMultilevel"/>
    <w:tmpl w:val="5F301DC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0EC606E"/>
    <w:multiLevelType w:val="hybridMultilevel"/>
    <w:tmpl w:val="4F746EDE"/>
    <w:lvl w:ilvl="0" w:tplc="B94873FA">
      <w:start w:val="1"/>
      <w:numFmt w:val="decimal"/>
      <w:lvlText w:val="%1."/>
      <w:lvlJc w:val="left"/>
      <w:pPr>
        <w:ind w:left="1080" w:hanging="720"/>
      </w:pPr>
      <w:rPr>
        <w:rFonts w:asciiTheme="minorHAnsi" w:eastAsiaTheme="minorHAnsi" w:hAnsiTheme="minorHAnsi"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25C03A8"/>
    <w:multiLevelType w:val="hybridMultilevel"/>
    <w:tmpl w:val="EE46BB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2BA2BBB"/>
    <w:multiLevelType w:val="hybridMultilevel"/>
    <w:tmpl w:val="59B04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118484E"/>
    <w:multiLevelType w:val="hybridMultilevel"/>
    <w:tmpl w:val="2FCAB8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F185942"/>
    <w:multiLevelType w:val="multilevel"/>
    <w:tmpl w:val="F4002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1C50356"/>
    <w:multiLevelType w:val="hybridMultilevel"/>
    <w:tmpl w:val="DE5C0304"/>
    <w:lvl w:ilvl="0" w:tplc="8E443A82">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 w15:restartNumberingAfterBreak="0">
    <w:nsid w:val="64AC6CD9"/>
    <w:multiLevelType w:val="hybridMultilevel"/>
    <w:tmpl w:val="284E9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6A34B8C"/>
    <w:multiLevelType w:val="hybridMultilevel"/>
    <w:tmpl w:val="FF76DD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C1E00B8"/>
    <w:multiLevelType w:val="hybridMultilevel"/>
    <w:tmpl w:val="689ECF3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DB211E4"/>
    <w:multiLevelType w:val="multilevel"/>
    <w:tmpl w:val="2CF06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3F00CDF"/>
    <w:multiLevelType w:val="multilevel"/>
    <w:tmpl w:val="D4DA478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663175B"/>
    <w:multiLevelType w:val="hybridMultilevel"/>
    <w:tmpl w:val="06843C78"/>
    <w:lvl w:ilvl="0" w:tplc="FBC8ACD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1105534836">
    <w:abstractNumId w:val="11"/>
  </w:num>
  <w:num w:numId="2" w16cid:durableId="1437824854">
    <w:abstractNumId w:val="6"/>
  </w:num>
  <w:num w:numId="3" w16cid:durableId="945968166">
    <w:abstractNumId w:val="12"/>
  </w:num>
  <w:num w:numId="4" w16cid:durableId="1569999294">
    <w:abstractNumId w:val="5"/>
  </w:num>
  <w:num w:numId="5" w16cid:durableId="1436486065">
    <w:abstractNumId w:val="9"/>
  </w:num>
  <w:num w:numId="6" w16cid:durableId="51395768">
    <w:abstractNumId w:val="14"/>
  </w:num>
  <w:num w:numId="7" w16cid:durableId="405422479">
    <w:abstractNumId w:val="4"/>
  </w:num>
  <w:num w:numId="8" w16cid:durableId="715392392">
    <w:abstractNumId w:val="0"/>
  </w:num>
  <w:num w:numId="9" w16cid:durableId="861549686">
    <w:abstractNumId w:val="18"/>
  </w:num>
  <w:num w:numId="10" w16cid:durableId="1423454619">
    <w:abstractNumId w:val="2"/>
  </w:num>
  <w:num w:numId="11" w16cid:durableId="2040622518">
    <w:abstractNumId w:val="17"/>
  </w:num>
  <w:num w:numId="12" w16cid:durableId="1335378486">
    <w:abstractNumId w:val="7"/>
  </w:num>
  <w:num w:numId="13" w16cid:durableId="1283535750">
    <w:abstractNumId w:val="8"/>
  </w:num>
  <w:num w:numId="14" w16cid:durableId="1140880962">
    <w:abstractNumId w:val="20"/>
  </w:num>
  <w:num w:numId="15" w16cid:durableId="665978084">
    <w:abstractNumId w:val="21"/>
  </w:num>
  <w:num w:numId="16" w16cid:durableId="735200883">
    <w:abstractNumId w:val="3"/>
  </w:num>
  <w:num w:numId="17" w16cid:durableId="953093555">
    <w:abstractNumId w:val="19"/>
  </w:num>
  <w:num w:numId="18" w16cid:durableId="1448545725">
    <w:abstractNumId w:val="13"/>
  </w:num>
  <w:num w:numId="19" w16cid:durableId="1104962093">
    <w:abstractNumId w:val="10"/>
  </w:num>
  <w:num w:numId="20" w16cid:durableId="1222787493">
    <w:abstractNumId w:val="22"/>
  </w:num>
  <w:num w:numId="21" w16cid:durableId="175462205">
    <w:abstractNumId w:val="15"/>
  </w:num>
  <w:num w:numId="22" w16cid:durableId="683097670">
    <w:abstractNumId w:val="16"/>
  </w:num>
  <w:num w:numId="23" w16cid:durableId="1551916084">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defaultTabStop w:val="720"/>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Vancouver Copy2&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tvt5vppxrrptdpetxr05rtervv55s9wz0wfz&quot;&gt;My EndNote Library NHS111-Saved&lt;record-ids&gt;&lt;item&gt;7&lt;/item&gt;&lt;item&gt;11&lt;/item&gt;&lt;item&gt;13&lt;/item&gt;&lt;item&gt;14&lt;/item&gt;&lt;item&gt;15&lt;/item&gt;&lt;item&gt;16&lt;/item&gt;&lt;item&gt;17&lt;/item&gt;&lt;item&gt;18&lt;/item&gt;&lt;item&gt;19&lt;/item&gt;&lt;item&gt;20&lt;/item&gt;&lt;item&gt;22&lt;/item&gt;&lt;item&gt;25&lt;/item&gt;&lt;item&gt;28&lt;/item&gt;&lt;item&gt;30&lt;/item&gt;&lt;item&gt;32&lt;/item&gt;&lt;item&gt;33&lt;/item&gt;&lt;item&gt;35&lt;/item&gt;&lt;item&gt;36&lt;/item&gt;&lt;item&gt;41&lt;/item&gt;&lt;item&gt;292&lt;/item&gt;&lt;item&gt;293&lt;/item&gt;&lt;item&gt;296&lt;/item&gt;&lt;item&gt;297&lt;/item&gt;&lt;item&gt;298&lt;/item&gt;&lt;item&gt;299&lt;/item&gt;&lt;item&gt;300&lt;/item&gt;&lt;item&gt;301&lt;/item&gt;&lt;item&gt;307&lt;/item&gt;&lt;item&gt;308&lt;/item&gt;&lt;item&gt;311&lt;/item&gt;&lt;item&gt;312&lt;/item&gt;&lt;item&gt;313&lt;/item&gt;&lt;item&gt;314&lt;/item&gt;&lt;item&gt;316&lt;/item&gt;&lt;item&gt;317&lt;/item&gt;&lt;item&gt;319&lt;/item&gt;&lt;item&gt;321&lt;/item&gt;&lt;item&gt;326&lt;/item&gt;&lt;item&gt;329&lt;/item&gt;&lt;item&gt;330&lt;/item&gt;&lt;item&gt;331&lt;/item&gt;&lt;item&gt;333&lt;/item&gt;&lt;item&gt;334&lt;/item&gt;&lt;item&gt;335&lt;/item&gt;&lt;item&gt;336&lt;/item&gt;&lt;item&gt;337&lt;/item&gt;&lt;item&gt;338&lt;/item&gt;&lt;item&gt;342&lt;/item&gt;&lt;item&gt;344&lt;/item&gt;&lt;item&gt;345&lt;/item&gt;&lt;item&gt;346&lt;/item&gt;&lt;item&gt;347&lt;/item&gt;&lt;item&gt;349&lt;/item&gt;&lt;item&gt;350&lt;/item&gt;&lt;item&gt;351&lt;/item&gt;&lt;item&gt;354&lt;/item&gt;&lt;item&gt;355&lt;/item&gt;&lt;item&gt;356&lt;/item&gt;&lt;item&gt;357&lt;/item&gt;&lt;item&gt;359&lt;/item&gt;&lt;item&gt;360&lt;/item&gt;&lt;item&gt;361&lt;/item&gt;&lt;item&gt;363&lt;/item&gt;&lt;item&gt;364&lt;/item&gt;&lt;item&gt;365&lt;/item&gt;&lt;item&gt;367&lt;/item&gt;&lt;item&gt;368&lt;/item&gt;&lt;item&gt;369&lt;/item&gt;&lt;item&gt;370&lt;/item&gt;&lt;item&gt;372&lt;/item&gt;&lt;item&gt;373&lt;/item&gt;&lt;item&gt;374&lt;/item&gt;&lt;item&gt;375&lt;/item&gt;&lt;item&gt;376&lt;/item&gt;&lt;item&gt;377&lt;/item&gt;&lt;item&gt;378&lt;/item&gt;&lt;item&gt;379&lt;/item&gt;&lt;item&gt;382&lt;/item&gt;&lt;item&gt;384&lt;/item&gt;&lt;item&gt;385&lt;/item&gt;&lt;item&gt;386&lt;/item&gt;&lt;item&gt;387&lt;/item&gt;&lt;item&gt;390&lt;/item&gt;&lt;item&gt;391&lt;/item&gt;&lt;item&gt;392&lt;/item&gt;&lt;item&gt;393&lt;/item&gt;&lt;item&gt;394&lt;/item&gt;&lt;item&gt;395&lt;/item&gt;&lt;item&gt;396&lt;/item&gt;&lt;item&gt;397&lt;/item&gt;&lt;item&gt;398&lt;/item&gt;&lt;item&gt;399&lt;/item&gt;&lt;item&gt;400&lt;/item&gt;&lt;item&gt;401&lt;/item&gt;&lt;item&gt;402&lt;/item&gt;&lt;item&gt;403&lt;/item&gt;&lt;item&gt;404&lt;/item&gt;&lt;item&gt;405&lt;/item&gt;&lt;item&gt;406&lt;/item&gt;&lt;item&gt;408&lt;/item&gt;&lt;item&gt;409&lt;/item&gt;&lt;item&gt;410&lt;/item&gt;&lt;item&gt;411&lt;/item&gt;&lt;item&gt;412&lt;/item&gt;&lt;item&gt;413&lt;/item&gt;&lt;item&gt;414&lt;/item&gt;&lt;item&gt;415&lt;/item&gt;&lt;item&gt;416&lt;/item&gt;&lt;item&gt;417&lt;/item&gt;&lt;item&gt;418&lt;/item&gt;&lt;item&gt;419&lt;/item&gt;&lt;item&gt;420&lt;/item&gt;&lt;item&gt;421&lt;/item&gt;&lt;item&gt;422&lt;/item&gt;&lt;item&gt;423&lt;/item&gt;&lt;item&gt;424&lt;/item&gt;&lt;item&gt;425&lt;/item&gt;&lt;item&gt;426&lt;/item&gt;&lt;item&gt;427&lt;/item&gt;&lt;item&gt;428&lt;/item&gt;&lt;item&gt;429&lt;/item&gt;&lt;item&gt;430&lt;/item&gt;&lt;item&gt;431&lt;/item&gt;&lt;item&gt;432&lt;/item&gt;&lt;item&gt;433&lt;/item&gt;&lt;item&gt;434&lt;/item&gt;&lt;item&gt;435&lt;/item&gt;&lt;item&gt;436&lt;/item&gt;&lt;item&gt;437&lt;/item&gt;&lt;item&gt;438&lt;/item&gt;&lt;item&gt;440&lt;/item&gt;&lt;item&gt;441&lt;/item&gt;&lt;item&gt;442&lt;/item&gt;&lt;item&gt;443&lt;/item&gt;&lt;item&gt;444&lt;/item&gt;&lt;item&gt;445&lt;/item&gt;&lt;item&gt;446&lt;/item&gt;&lt;item&gt;449&lt;/item&gt;&lt;/record-ids&gt;&lt;/item&gt;&lt;/Libraries&gt;"/>
  </w:docVars>
  <w:rsids>
    <w:rsidRoot w:val="0049081E"/>
    <w:rsid w:val="00001261"/>
    <w:rsid w:val="000026D0"/>
    <w:rsid w:val="00010EC1"/>
    <w:rsid w:val="0001257E"/>
    <w:rsid w:val="000131B9"/>
    <w:rsid w:val="0001428A"/>
    <w:rsid w:val="00014759"/>
    <w:rsid w:val="00015E50"/>
    <w:rsid w:val="000175DB"/>
    <w:rsid w:val="00020178"/>
    <w:rsid w:val="00024025"/>
    <w:rsid w:val="0002431D"/>
    <w:rsid w:val="000260B9"/>
    <w:rsid w:val="00031DC4"/>
    <w:rsid w:val="00032BD8"/>
    <w:rsid w:val="00034065"/>
    <w:rsid w:val="000368CE"/>
    <w:rsid w:val="00037C09"/>
    <w:rsid w:val="00043566"/>
    <w:rsid w:val="00043755"/>
    <w:rsid w:val="00046E3C"/>
    <w:rsid w:val="00047E3F"/>
    <w:rsid w:val="0005058F"/>
    <w:rsid w:val="00055398"/>
    <w:rsid w:val="000607C4"/>
    <w:rsid w:val="00061D6B"/>
    <w:rsid w:val="00064BC8"/>
    <w:rsid w:val="00067C17"/>
    <w:rsid w:val="00067FDA"/>
    <w:rsid w:val="00070266"/>
    <w:rsid w:val="000771D3"/>
    <w:rsid w:val="00080F48"/>
    <w:rsid w:val="000817A5"/>
    <w:rsid w:val="00083649"/>
    <w:rsid w:val="00085FE3"/>
    <w:rsid w:val="00086AA3"/>
    <w:rsid w:val="000872FB"/>
    <w:rsid w:val="0009196B"/>
    <w:rsid w:val="00091FE6"/>
    <w:rsid w:val="00093293"/>
    <w:rsid w:val="00093968"/>
    <w:rsid w:val="00093C6B"/>
    <w:rsid w:val="00096546"/>
    <w:rsid w:val="000A0818"/>
    <w:rsid w:val="000B0F0A"/>
    <w:rsid w:val="000B4425"/>
    <w:rsid w:val="000B4711"/>
    <w:rsid w:val="000B50A0"/>
    <w:rsid w:val="000B7288"/>
    <w:rsid w:val="000B7E58"/>
    <w:rsid w:val="000C030F"/>
    <w:rsid w:val="000C6E5F"/>
    <w:rsid w:val="000D0942"/>
    <w:rsid w:val="000D14DB"/>
    <w:rsid w:val="000D196F"/>
    <w:rsid w:val="000D706D"/>
    <w:rsid w:val="000E377B"/>
    <w:rsid w:val="000E4A6A"/>
    <w:rsid w:val="000F2D42"/>
    <w:rsid w:val="000F43F3"/>
    <w:rsid w:val="000F73A5"/>
    <w:rsid w:val="000F7F0C"/>
    <w:rsid w:val="001000E9"/>
    <w:rsid w:val="0010340E"/>
    <w:rsid w:val="00105EA6"/>
    <w:rsid w:val="00106EF4"/>
    <w:rsid w:val="00114BAF"/>
    <w:rsid w:val="001270B2"/>
    <w:rsid w:val="00131C83"/>
    <w:rsid w:val="00131F39"/>
    <w:rsid w:val="0013525F"/>
    <w:rsid w:val="00137A1D"/>
    <w:rsid w:val="001403F6"/>
    <w:rsid w:val="00144289"/>
    <w:rsid w:val="00145D29"/>
    <w:rsid w:val="00145EFF"/>
    <w:rsid w:val="001464F1"/>
    <w:rsid w:val="0014795B"/>
    <w:rsid w:val="00150329"/>
    <w:rsid w:val="00154E35"/>
    <w:rsid w:val="00155C90"/>
    <w:rsid w:val="001562D3"/>
    <w:rsid w:val="00157C5D"/>
    <w:rsid w:val="00166348"/>
    <w:rsid w:val="0016798A"/>
    <w:rsid w:val="001714D1"/>
    <w:rsid w:val="00172070"/>
    <w:rsid w:val="001761ED"/>
    <w:rsid w:val="00182446"/>
    <w:rsid w:val="00183257"/>
    <w:rsid w:val="00184C72"/>
    <w:rsid w:val="00192BA9"/>
    <w:rsid w:val="00194FD7"/>
    <w:rsid w:val="001A0123"/>
    <w:rsid w:val="001A2F54"/>
    <w:rsid w:val="001A3079"/>
    <w:rsid w:val="001A6762"/>
    <w:rsid w:val="001A731B"/>
    <w:rsid w:val="001B0712"/>
    <w:rsid w:val="001B086D"/>
    <w:rsid w:val="001B43EB"/>
    <w:rsid w:val="001B5041"/>
    <w:rsid w:val="001B504F"/>
    <w:rsid w:val="001B7439"/>
    <w:rsid w:val="001C2E94"/>
    <w:rsid w:val="001C3EF7"/>
    <w:rsid w:val="001C43EC"/>
    <w:rsid w:val="001D2548"/>
    <w:rsid w:val="001D342D"/>
    <w:rsid w:val="001D420A"/>
    <w:rsid w:val="001D6D41"/>
    <w:rsid w:val="001D709C"/>
    <w:rsid w:val="001D735C"/>
    <w:rsid w:val="001E0C2C"/>
    <w:rsid w:val="001E10AE"/>
    <w:rsid w:val="001E40F8"/>
    <w:rsid w:val="001E760B"/>
    <w:rsid w:val="001E7944"/>
    <w:rsid w:val="001F1703"/>
    <w:rsid w:val="001F236E"/>
    <w:rsid w:val="001F4931"/>
    <w:rsid w:val="001F5B0A"/>
    <w:rsid w:val="001F5C2C"/>
    <w:rsid w:val="001F6961"/>
    <w:rsid w:val="001F6CC0"/>
    <w:rsid w:val="00200CCF"/>
    <w:rsid w:val="002018B1"/>
    <w:rsid w:val="00202D63"/>
    <w:rsid w:val="0020305F"/>
    <w:rsid w:val="00204EB7"/>
    <w:rsid w:val="002058A5"/>
    <w:rsid w:val="00216550"/>
    <w:rsid w:val="002221F3"/>
    <w:rsid w:val="00223AFA"/>
    <w:rsid w:val="00224116"/>
    <w:rsid w:val="0022490A"/>
    <w:rsid w:val="00230BA9"/>
    <w:rsid w:val="00231A46"/>
    <w:rsid w:val="0023292B"/>
    <w:rsid w:val="00232C3D"/>
    <w:rsid w:val="0023461C"/>
    <w:rsid w:val="002362CA"/>
    <w:rsid w:val="00236623"/>
    <w:rsid w:val="002378FF"/>
    <w:rsid w:val="0024165B"/>
    <w:rsid w:val="002440C6"/>
    <w:rsid w:val="002440E7"/>
    <w:rsid w:val="002505F2"/>
    <w:rsid w:val="00260E63"/>
    <w:rsid w:val="00264F4F"/>
    <w:rsid w:val="0027077F"/>
    <w:rsid w:val="00270A05"/>
    <w:rsid w:val="00272EBE"/>
    <w:rsid w:val="00275088"/>
    <w:rsid w:val="00275EEC"/>
    <w:rsid w:val="00277356"/>
    <w:rsid w:val="00291CE4"/>
    <w:rsid w:val="00295AA6"/>
    <w:rsid w:val="00296C09"/>
    <w:rsid w:val="002A1956"/>
    <w:rsid w:val="002A4EB7"/>
    <w:rsid w:val="002A7F9A"/>
    <w:rsid w:val="002B237F"/>
    <w:rsid w:val="002B5ECB"/>
    <w:rsid w:val="002B6FEB"/>
    <w:rsid w:val="002C4056"/>
    <w:rsid w:val="002C6771"/>
    <w:rsid w:val="002C6EB9"/>
    <w:rsid w:val="002D14FE"/>
    <w:rsid w:val="002D2D3B"/>
    <w:rsid w:val="002D59F0"/>
    <w:rsid w:val="002D6309"/>
    <w:rsid w:val="002D79CA"/>
    <w:rsid w:val="002E37BD"/>
    <w:rsid w:val="002E3893"/>
    <w:rsid w:val="002E3E6B"/>
    <w:rsid w:val="002E41E2"/>
    <w:rsid w:val="002E5827"/>
    <w:rsid w:val="002E6199"/>
    <w:rsid w:val="002E6205"/>
    <w:rsid w:val="002E760A"/>
    <w:rsid w:val="002E78B5"/>
    <w:rsid w:val="002F686E"/>
    <w:rsid w:val="002F68A8"/>
    <w:rsid w:val="00301605"/>
    <w:rsid w:val="00305325"/>
    <w:rsid w:val="003068DE"/>
    <w:rsid w:val="00312161"/>
    <w:rsid w:val="0031418E"/>
    <w:rsid w:val="003142C5"/>
    <w:rsid w:val="003152A4"/>
    <w:rsid w:val="003201D7"/>
    <w:rsid w:val="0032103F"/>
    <w:rsid w:val="00322B8C"/>
    <w:rsid w:val="003236A0"/>
    <w:rsid w:val="00324C57"/>
    <w:rsid w:val="0032783A"/>
    <w:rsid w:val="003305B5"/>
    <w:rsid w:val="00330DCC"/>
    <w:rsid w:val="00330F2B"/>
    <w:rsid w:val="00332EDE"/>
    <w:rsid w:val="00333844"/>
    <w:rsid w:val="00336988"/>
    <w:rsid w:val="00336D66"/>
    <w:rsid w:val="00340C55"/>
    <w:rsid w:val="00343D33"/>
    <w:rsid w:val="003446EE"/>
    <w:rsid w:val="00344B9F"/>
    <w:rsid w:val="003507D8"/>
    <w:rsid w:val="00350BF0"/>
    <w:rsid w:val="00354CCF"/>
    <w:rsid w:val="00356427"/>
    <w:rsid w:val="00360815"/>
    <w:rsid w:val="003648AA"/>
    <w:rsid w:val="00365CC5"/>
    <w:rsid w:val="003673AC"/>
    <w:rsid w:val="0037224D"/>
    <w:rsid w:val="00372808"/>
    <w:rsid w:val="00377CC0"/>
    <w:rsid w:val="00380016"/>
    <w:rsid w:val="003808C0"/>
    <w:rsid w:val="0038090E"/>
    <w:rsid w:val="0038188B"/>
    <w:rsid w:val="003823BB"/>
    <w:rsid w:val="0038289D"/>
    <w:rsid w:val="00387876"/>
    <w:rsid w:val="003907C1"/>
    <w:rsid w:val="00391938"/>
    <w:rsid w:val="00393076"/>
    <w:rsid w:val="00395812"/>
    <w:rsid w:val="00396EEE"/>
    <w:rsid w:val="0039757D"/>
    <w:rsid w:val="003A015F"/>
    <w:rsid w:val="003A146C"/>
    <w:rsid w:val="003A1483"/>
    <w:rsid w:val="003A39A7"/>
    <w:rsid w:val="003A3A85"/>
    <w:rsid w:val="003A5A60"/>
    <w:rsid w:val="003B1B51"/>
    <w:rsid w:val="003B3383"/>
    <w:rsid w:val="003B5B84"/>
    <w:rsid w:val="003C1772"/>
    <w:rsid w:val="003C2427"/>
    <w:rsid w:val="003C26E1"/>
    <w:rsid w:val="003C3824"/>
    <w:rsid w:val="003C7A6F"/>
    <w:rsid w:val="003D07DB"/>
    <w:rsid w:val="003D305F"/>
    <w:rsid w:val="003D431B"/>
    <w:rsid w:val="003D67A0"/>
    <w:rsid w:val="003E0000"/>
    <w:rsid w:val="003E1886"/>
    <w:rsid w:val="003E38DD"/>
    <w:rsid w:val="003E38F0"/>
    <w:rsid w:val="003E3B75"/>
    <w:rsid w:val="003E49B8"/>
    <w:rsid w:val="003E4D9F"/>
    <w:rsid w:val="003F057D"/>
    <w:rsid w:val="003F18EC"/>
    <w:rsid w:val="003F4864"/>
    <w:rsid w:val="003F7382"/>
    <w:rsid w:val="003F7F1C"/>
    <w:rsid w:val="004039D9"/>
    <w:rsid w:val="00404D8E"/>
    <w:rsid w:val="00410651"/>
    <w:rsid w:val="00413077"/>
    <w:rsid w:val="00416DAB"/>
    <w:rsid w:val="004208B5"/>
    <w:rsid w:val="00423F0E"/>
    <w:rsid w:val="004311DA"/>
    <w:rsid w:val="004339C8"/>
    <w:rsid w:val="00434008"/>
    <w:rsid w:val="004369D9"/>
    <w:rsid w:val="0044190E"/>
    <w:rsid w:val="004434EB"/>
    <w:rsid w:val="00444373"/>
    <w:rsid w:val="004476D0"/>
    <w:rsid w:val="00447AB2"/>
    <w:rsid w:val="00455ECB"/>
    <w:rsid w:val="00456500"/>
    <w:rsid w:val="00461896"/>
    <w:rsid w:val="00464A77"/>
    <w:rsid w:val="00466411"/>
    <w:rsid w:val="0046683E"/>
    <w:rsid w:val="0047091C"/>
    <w:rsid w:val="00471276"/>
    <w:rsid w:val="00473267"/>
    <w:rsid w:val="00473570"/>
    <w:rsid w:val="00473C7A"/>
    <w:rsid w:val="0047493D"/>
    <w:rsid w:val="00475AB9"/>
    <w:rsid w:val="0048017E"/>
    <w:rsid w:val="00480254"/>
    <w:rsid w:val="00483C2F"/>
    <w:rsid w:val="00483D5A"/>
    <w:rsid w:val="0048484E"/>
    <w:rsid w:val="00484B1C"/>
    <w:rsid w:val="00484D47"/>
    <w:rsid w:val="004854CC"/>
    <w:rsid w:val="00485B8A"/>
    <w:rsid w:val="0049081E"/>
    <w:rsid w:val="004921CA"/>
    <w:rsid w:val="004923E5"/>
    <w:rsid w:val="004925C8"/>
    <w:rsid w:val="00492AF0"/>
    <w:rsid w:val="00493529"/>
    <w:rsid w:val="004961F7"/>
    <w:rsid w:val="004969E0"/>
    <w:rsid w:val="00496B28"/>
    <w:rsid w:val="004A003A"/>
    <w:rsid w:val="004A04D8"/>
    <w:rsid w:val="004A094D"/>
    <w:rsid w:val="004A0B69"/>
    <w:rsid w:val="004A0EA7"/>
    <w:rsid w:val="004A1F58"/>
    <w:rsid w:val="004A7388"/>
    <w:rsid w:val="004A75A8"/>
    <w:rsid w:val="004B375E"/>
    <w:rsid w:val="004B41F6"/>
    <w:rsid w:val="004B5FB8"/>
    <w:rsid w:val="004C0A56"/>
    <w:rsid w:val="004C5259"/>
    <w:rsid w:val="004C692A"/>
    <w:rsid w:val="004D1CBF"/>
    <w:rsid w:val="004D58DD"/>
    <w:rsid w:val="004D64AF"/>
    <w:rsid w:val="004D716B"/>
    <w:rsid w:val="004D73ED"/>
    <w:rsid w:val="004E1D23"/>
    <w:rsid w:val="004E20BA"/>
    <w:rsid w:val="004E3EF4"/>
    <w:rsid w:val="004E4C78"/>
    <w:rsid w:val="004E6572"/>
    <w:rsid w:val="004E772F"/>
    <w:rsid w:val="004F0052"/>
    <w:rsid w:val="004F4E6B"/>
    <w:rsid w:val="004F508F"/>
    <w:rsid w:val="004F6317"/>
    <w:rsid w:val="004F7E49"/>
    <w:rsid w:val="00504C64"/>
    <w:rsid w:val="00504FCA"/>
    <w:rsid w:val="00510196"/>
    <w:rsid w:val="005104EC"/>
    <w:rsid w:val="00511A3F"/>
    <w:rsid w:val="00515201"/>
    <w:rsid w:val="00516499"/>
    <w:rsid w:val="0051687F"/>
    <w:rsid w:val="00522637"/>
    <w:rsid w:val="00522979"/>
    <w:rsid w:val="00531FE5"/>
    <w:rsid w:val="005353B3"/>
    <w:rsid w:val="00537D4E"/>
    <w:rsid w:val="00544664"/>
    <w:rsid w:val="0054655F"/>
    <w:rsid w:val="005503BE"/>
    <w:rsid w:val="00551269"/>
    <w:rsid w:val="00551B7E"/>
    <w:rsid w:val="00552DE6"/>
    <w:rsid w:val="0055341F"/>
    <w:rsid w:val="00553F83"/>
    <w:rsid w:val="00555683"/>
    <w:rsid w:val="00560CF2"/>
    <w:rsid w:val="00564C7B"/>
    <w:rsid w:val="0057000D"/>
    <w:rsid w:val="00573060"/>
    <w:rsid w:val="0057777A"/>
    <w:rsid w:val="005778A9"/>
    <w:rsid w:val="00577A4D"/>
    <w:rsid w:val="00580975"/>
    <w:rsid w:val="00580AED"/>
    <w:rsid w:val="00581B54"/>
    <w:rsid w:val="005842B2"/>
    <w:rsid w:val="00584991"/>
    <w:rsid w:val="0058759C"/>
    <w:rsid w:val="0059139B"/>
    <w:rsid w:val="00592E01"/>
    <w:rsid w:val="00593FB7"/>
    <w:rsid w:val="00595DDC"/>
    <w:rsid w:val="00597353"/>
    <w:rsid w:val="005A2EB7"/>
    <w:rsid w:val="005B1807"/>
    <w:rsid w:val="005B1B3C"/>
    <w:rsid w:val="005B366A"/>
    <w:rsid w:val="005B5C99"/>
    <w:rsid w:val="005B6EBA"/>
    <w:rsid w:val="005C2494"/>
    <w:rsid w:val="005C3203"/>
    <w:rsid w:val="005C7CBF"/>
    <w:rsid w:val="005D2890"/>
    <w:rsid w:val="005D5AD1"/>
    <w:rsid w:val="005D7612"/>
    <w:rsid w:val="005D78D1"/>
    <w:rsid w:val="005E370E"/>
    <w:rsid w:val="005E405C"/>
    <w:rsid w:val="005E425D"/>
    <w:rsid w:val="005F19BA"/>
    <w:rsid w:val="005F654B"/>
    <w:rsid w:val="005F76E8"/>
    <w:rsid w:val="005F783F"/>
    <w:rsid w:val="005F79CB"/>
    <w:rsid w:val="006024BA"/>
    <w:rsid w:val="00606A35"/>
    <w:rsid w:val="00614B5A"/>
    <w:rsid w:val="00615C92"/>
    <w:rsid w:val="00615F4B"/>
    <w:rsid w:val="006163EF"/>
    <w:rsid w:val="006356B6"/>
    <w:rsid w:val="0063796C"/>
    <w:rsid w:val="006411ED"/>
    <w:rsid w:val="0064440F"/>
    <w:rsid w:val="00644FB1"/>
    <w:rsid w:val="006462FB"/>
    <w:rsid w:val="00650FDD"/>
    <w:rsid w:val="006517C3"/>
    <w:rsid w:val="0065246E"/>
    <w:rsid w:val="00654187"/>
    <w:rsid w:val="0065556E"/>
    <w:rsid w:val="0066376E"/>
    <w:rsid w:val="006668F1"/>
    <w:rsid w:val="006722C3"/>
    <w:rsid w:val="0067385E"/>
    <w:rsid w:val="006738ED"/>
    <w:rsid w:val="00675EB7"/>
    <w:rsid w:val="0068029D"/>
    <w:rsid w:val="006857DE"/>
    <w:rsid w:val="00692102"/>
    <w:rsid w:val="00692B0A"/>
    <w:rsid w:val="00696769"/>
    <w:rsid w:val="00697642"/>
    <w:rsid w:val="006A5629"/>
    <w:rsid w:val="006B2FC0"/>
    <w:rsid w:val="006B3540"/>
    <w:rsid w:val="006B47B7"/>
    <w:rsid w:val="006B796F"/>
    <w:rsid w:val="006C78F7"/>
    <w:rsid w:val="006D32EB"/>
    <w:rsid w:val="006D35EA"/>
    <w:rsid w:val="006D3B4E"/>
    <w:rsid w:val="006D49CB"/>
    <w:rsid w:val="006D5E97"/>
    <w:rsid w:val="006E0CC5"/>
    <w:rsid w:val="006E1272"/>
    <w:rsid w:val="006E3689"/>
    <w:rsid w:val="006E4A79"/>
    <w:rsid w:val="006E5BAB"/>
    <w:rsid w:val="006E5BCD"/>
    <w:rsid w:val="006F3B61"/>
    <w:rsid w:val="006F40A5"/>
    <w:rsid w:val="006F7BB9"/>
    <w:rsid w:val="007007B1"/>
    <w:rsid w:val="00703178"/>
    <w:rsid w:val="00707E04"/>
    <w:rsid w:val="00710C98"/>
    <w:rsid w:val="00712136"/>
    <w:rsid w:val="00716BED"/>
    <w:rsid w:val="00716F4A"/>
    <w:rsid w:val="007171BA"/>
    <w:rsid w:val="00720A45"/>
    <w:rsid w:val="0072152B"/>
    <w:rsid w:val="007215EA"/>
    <w:rsid w:val="00725A3D"/>
    <w:rsid w:val="00726B7B"/>
    <w:rsid w:val="00731FF6"/>
    <w:rsid w:val="007324B4"/>
    <w:rsid w:val="00732BC2"/>
    <w:rsid w:val="00735CEE"/>
    <w:rsid w:val="00740161"/>
    <w:rsid w:val="00742AA7"/>
    <w:rsid w:val="0074597D"/>
    <w:rsid w:val="00747539"/>
    <w:rsid w:val="00750877"/>
    <w:rsid w:val="00751BC4"/>
    <w:rsid w:val="00760522"/>
    <w:rsid w:val="00764621"/>
    <w:rsid w:val="00764686"/>
    <w:rsid w:val="00764DC2"/>
    <w:rsid w:val="00771FE7"/>
    <w:rsid w:val="00777CB8"/>
    <w:rsid w:val="007821B4"/>
    <w:rsid w:val="007828E0"/>
    <w:rsid w:val="007831E5"/>
    <w:rsid w:val="00787449"/>
    <w:rsid w:val="00791DC8"/>
    <w:rsid w:val="00793506"/>
    <w:rsid w:val="0079464F"/>
    <w:rsid w:val="0079589D"/>
    <w:rsid w:val="0079591B"/>
    <w:rsid w:val="007A14DC"/>
    <w:rsid w:val="007A2A49"/>
    <w:rsid w:val="007A2A8D"/>
    <w:rsid w:val="007A412D"/>
    <w:rsid w:val="007A5489"/>
    <w:rsid w:val="007A5579"/>
    <w:rsid w:val="007A6AD8"/>
    <w:rsid w:val="007A6EE8"/>
    <w:rsid w:val="007A7616"/>
    <w:rsid w:val="007B239E"/>
    <w:rsid w:val="007B3048"/>
    <w:rsid w:val="007B3CF5"/>
    <w:rsid w:val="007B440E"/>
    <w:rsid w:val="007B4EBB"/>
    <w:rsid w:val="007B6C8B"/>
    <w:rsid w:val="007B7FBD"/>
    <w:rsid w:val="007C353C"/>
    <w:rsid w:val="007C4E7B"/>
    <w:rsid w:val="007D39C6"/>
    <w:rsid w:val="007D5E73"/>
    <w:rsid w:val="007D6643"/>
    <w:rsid w:val="007D7A59"/>
    <w:rsid w:val="007E115F"/>
    <w:rsid w:val="007E3280"/>
    <w:rsid w:val="007E3844"/>
    <w:rsid w:val="007E5ADD"/>
    <w:rsid w:val="007E60C5"/>
    <w:rsid w:val="007E611C"/>
    <w:rsid w:val="007E6811"/>
    <w:rsid w:val="007F0288"/>
    <w:rsid w:val="007F56B6"/>
    <w:rsid w:val="007F7BB6"/>
    <w:rsid w:val="0080003E"/>
    <w:rsid w:val="008005C8"/>
    <w:rsid w:val="00803F76"/>
    <w:rsid w:val="00803FF9"/>
    <w:rsid w:val="0080414F"/>
    <w:rsid w:val="008065B6"/>
    <w:rsid w:val="008102F6"/>
    <w:rsid w:val="008116F9"/>
    <w:rsid w:val="00813C5D"/>
    <w:rsid w:val="00813FCC"/>
    <w:rsid w:val="008149DC"/>
    <w:rsid w:val="008150B7"/>
    <w:rsid w:val="00816929"/>
    <w:rsid w:val="00821051"/>
    <w:rsid w:val="008239D9"/>
    <w:rsid w:val="0083568C"/>
    <w:rsid w:val="00843099"/>
    <w:rsid w:val="0084641C"/>
    <w:rsid w:val="00847D2A"/>
    <w:rsid w:val="008503AE"/>
    <w:rsid w:val="008511F3"/>
    <w:rsid w:val="0085132F"/>
    <w:rsid w:val="00856938"/>
    <w:rsid w:val="008573CC"/>
    <w:rsid w:val="00857E7C"/>
    <w:rsid w:val="008646E8"/>
    <w:rsid w:val="00865382"/>
    <w:rsid w:val="008655AC"/>
    <w:rsid w:val="008673D4"/>
    <w:rsid w:val="0087141E"/>
    <w:rsid w:val="008750B3"/>
    <w:rsid w:val="00875E36"/>
    <w:rsid w:val="008770B7"/>
    <w:rsid w:val="00880746"/>
    <w:rsid w:val="0088111A"/>
    <w:rsid w:val="00883F77"/>
    <w:rsid w:val="00884CC9"/>
    <w:rsid w:val="00886D8A"/>
    <w:rsid w:val="008879FC"/>
    <w:rsid w:val="00891C35"/>
    <w:rsid w:val="00894863"/>
    <w:rsid w:val="00895EEF"/>
    <w:rsid w:val="00896762"/>
    <w:rsid w:val="008A0B0E"/>
    <w:rsid w:val="008A0EA4"/>
    <w:rsid w:val="008A70CC"/>
    <w:rsid w:val="008A7757"/>
    <w:rsid w:val="008B0677"/>
    <w:rsid w:val="008B166D"/>
    <w:rsid w:val="008B469E"/>
    <w:rsid w:val="008C1EFA"/>
    <w:rsid w:val="008C30C4"/>
    <w:rsid w:val="008C4812"/>
    <w:rsid w:val="008D1C51"/>
    <w:rsid w:val="008D2A4D"/>
    <w:rsid w:val="008D6E0D"/>
    <w:rsid w:val="008D77CC"/>
    <w:rsid w:val="008E4A3E"/>
    <w:rsid w:val="008E5479"/>
    <w:rsid w:val="008E6A77"/>
    <w:rsid w:val="008E74AA"/>
    <w:rsid w:val="008F181B"/>
    <w:rsid w:val="008F1957"/>
    <w:rsid w:val="008F31BD"/>
    <w:rsid w:val="008F36F5"/>
    <w:rsid w:val="008F3945"/>
    <w:rsid w:val="008F420F"/>
    <w:rsid w:val="009024B9"/>
    <w:rsid w:val="00903703"/>
    <w:rsid w:val="00903D23"/>
    <w:rsid w:val="00916065"/>
    <w:rsid w:val="00925AA7"/>
    <w:rsid w:val="0092643B"/>
    <w:rsid w:val="009264FC"/>
    <w:rsid w:val="00926CB4"/>
    <w:rsid w:val="00931DFA"/>
    <w:rsid w:val="0093223B"/>
    <w:rsid w:val="009333A3"/>
    <w:rsid w:val="0093386F"/>
    <w:rsid w:val="0093438E"/>
    <w:rsid w:val="00941253"/>
    <w:rsid w:val="009416AD"/>
    <w:rsid w:val="00944C0E"/>
    <w:rsid w:val="00946B9A"/>
    <w:rsid w:val="0094784B"/>
    <w:rsid w:val="0095254F"/>
    <w:rsid w:val="00952D0E"/>
    <w:rsid w:val="009552D3"/>
    <w:rsid w:val="009559F0"/>
    <w:rsid w:val="00956AF3"/>
    <w:rsid w:val="00961B7C"/>
    <w:rsid w:val="009640C0"/>
    <w:rsid w:val="00964B43"/>
    <w:rsid w:val="00964B69"/>
    <w:rsid w:val="00965BED"/>
    <w:rsid w:val="00965C35"/>
    <w:rsid w:val="009670DA"/>
    <w:rsid w:val="0097308E"/>
    <w:rsid w:val="00973F8B"/>
    <w:rsid w:val="00974107"/>
    <w:rsid w:val="009849F9"/>
    <w:rsid w:val="009928E4"/>
    <w:rsid w:val="0099419A"/>
    <w:rsid w:val="009A0890"/>
    <w:rsid w:val="009A2621"/>
    <w:rsid w:val="009A3DD4"/>
    <w:rsid w:val="009B0C88"/>
    <w:rsid w:val="009B53A9"/>
    <w:rsid w:val="009C0830"/>
    <w:rsid w:val="009C2DB0"/>
    <w:rsid w:val="009C543C"/>
    <w:rsid w:val="009C5B90"/>
    <w:rsid w:val="009C71B9"/>
    <w:rsid w:val="009C72CC"/>
    <w:rsid w:val="009C7385"/>
    <w:rsid w:val="009C7621"/>
    <w:rsid w:val="009D3EF1"/>
    <w:rsid w:val="009D5ED0"/>
    <w:rsid w:val="009D6905"/>
    <w:rsid w:val="009E0A4F"/>
    <w:rsid w:val="009F0C50"/>
    <w:rsid w:val="009F3905"/>
    <w:rsid w:val="009F461D"/>
    <w:rsid w:val="009F55F4"/>
    <w:rsid w:val="009F714D"/>
    <w:rsid w:val="00A00AEC"/>
    <w:rsid w:val="00A00F38"/>
    <w:rsid w:val="00A01E7F"/>
    <w:rsid w:val="00A0438E"/>
    <w:rsid w:val="00A0628F"/>
    <w:rsid w:val="00A0781D"/>
    <w:rsid w:val="00A11C47"/>
    <w:rsid w:val="00A155C6"/>
    <w:rsid w:val="00A15951"/>
    <w:rsid w:val="00A23003"/>
    <w:rsid w:val="00A2345E"/>
    <w:rsid w:val="00A24005"/>
    <w:rsid w:val="00A24838"/>
    <w:rsid w:val="00A24BFE"/>
    <w:rsid w:val="00A274B9"/>
    <w:rsid w:val="00A278C3"/>
    <w:rsid w:val="00A33B57"/>
    <w:rsid w:val="00A343A4"/>
    <w:rsid w:val="00A347E0"/>
    <w:rsid w:val="00A379D6"/>
    <w:rsid w:val="00A4098C"/>
    <w:rsid w:val="00A412D8"/>
    <w:rsid w:val="00A42E1B"/>
    <w:rsid w:val="00A45B6C"/>
    <w:rsid w:val="00A468F2"/>
    <w:rsid w:val="00A46BD7"/>
    <w:rsid w:val="00A501B2"/>
    <w:rsid w:val="00A50999"/>
    <w:rsid w:val="00A56CBE"/>
    <w:rsid w:val="00A56FBA"/>
    <w:rsid w:val="00A57F6F"/>
    <w:rsid w:val="00A64D4A"/>
    <w:rsid w:val="00A706F1"/>
    <w:rsid w:val="00A73045"/>
    <w:rsid w:val="00A77589"/>
    <w:rsid w:val="00A7791A"/>
    <w:rsid w:val="00A80606"/>
    <w:rsid w:val="00A812F7"/>
    <w:rsid w:val="00A83700"/>
    <w:rsid w:val="00A84EE1"/>
    <w:rsid w:val="00A85FB2"/>
    <w:rsid w:val="00A87232"/>
    <w:rsid w:val="00A91873"/>
    <w:rsid w:val="00A9309C"/>
    <w:rsid w:val="00A9570A"/>
    <w:rsid w:val="00A957F2"/>
    <w:rsid w:val="00A960CA"/>
    <w:rsid w:val="00AA0244"/>
    <w:rsid w:val="00AA47C9"/>
    <w:rsid w:val="00AA49D7"/>
    <w:rsid w:val="00AA5211"/>
    <w:rsid w:val="00AA5B98"/>
    <w:rsid w:val="00AC1044"/>
    <w:rsid w:val="00AC5E57"/>
    <w:rsid w:val="00AD28DF"/>
    <w:rsid w:val="00AD3F5F"/>
    <w:rsid w:val="00AD7ECE"/>
    <w:rsid w:val="00AE0CDA"/>
    <w:rsid w:val="00AE37B7"/>
    <w:rsid w:val="00AE4692"/>
    <w:rsid w:val="00AE76BD"/>
    <w:rsid w:val="00AF02DE"/>
    <w:rsid w:val="00AF0FBB"/>
    <w:rsid w:val="00AF2B7E"/>
    <w:rsid w:val="00AF3D1D"/>
    <w:rsid w:val="00AF48EF"/>
    <w:rsid w:val="00AF6233"/>
    <w:rsid w:val="00B0007B"/>
    <w:rsid w:val="00B0018A"/>
    <w:rsid w:val="00B01731"/>
    <w:rsid w:val="00B060A9"/>
    <w:rsid w:val="00B07F7A"/>
    <w:rsid w:val="00B12F3D"/>
    <w:rsid w:val="00B148C0"/>
    <w:rsid w:val="00B15E85"/>
    <w:rsid w:val="00B17464"/>
    <w:rsid w:val="00B215B4"/>
    <w:rsid w:val="00B22031"/>
    <w:rsid w:val="00B240D7"/>
    <w:rsid w:val="00B24255"/>
    <w:rsid w:val="00B246D6"/>
    <w:rsid w:val="00B26049"/>
    <w:rsid w:val="00B30887"/>
    <w:rsid w:val="00B31E5F"/>
    <w:rsid w:val="00B33AE3"/>
    <w:rsid w:val="00B33E3A"/>
    <w:rsid w:val="00B35D8B"/>
    <w:rsid w:val="00B43601"/>
    <w:rsid w:val="00B45C1F"/>
    <w:rsid w:val="00B45EB6"/>
    <w:rsid w:val="00B462AE"/>
    <w:rsid w:val="00B524CD"/>
    <w:rsid w:val="00B55813"/>
    <w:rsid w:val="00B6498A"/>
    <w:rsid w:val="00B70DDF"/>
    <w:rsid w:val="00B733DC"/>
    <w:rsid w:val="00B73BC5"/>
    <w:rsid w:val="00B73C9F"/>
    <w:rsid w:val="00B74187"/>
    <w:rsid w:val="00B76AB8"/>
    <w:rsid w:val="00B76B91"/>
    <w:rsid w:val="00B80418"/>
    <w:rsid w:val="00B80BD7"/>
    <w:rsid w:val="00B83CBD"/>
    <w:rsid w:val="00B844FA"/>
    <w:rsid w:val="00B85CFD"/>
    <w:rsid w:val="00B90B11"/>
    <w:rsid w:val="00B92695"/>
    <w:rsid w:val="00BA3A61"/>
    <w:rsid w:val="00BA702A"/>
    <w:rsid w:val="00BB31B6"/>
    <w:rsid w:val="00BB6FEE"/>
    <w:rsid w:val="00BC0A79"/>
    <w:rsid w:val="00BC1A0D"/>
    <w:rsid w:val="00BC1E36"/>
    <w:rsid w:val="00BC21F1"/>
    <w:rsid w:val="00BC4746"/>
    <w:rsid w:val="00BC5949"/>
    <w:rsid w:val="00BC61AF"/>
    <w:rsid w:val="00BC6343"/>
    <w:rsid w:val="00BC7A40"/>
    <w:rsid w:val="00BD1D92"/>
    <w:rsid w:val="00BD52E6"/>
    <w:rsid w:val="00BD77CD"/>
    <w:rsid w:val="00BE00F6"/>
    <w:rsid w:val="00BE025A"/>
    <w:rsid w:val="00BE3606"/>
    <w:rsid w:val="00BE636D"/>
    <w:rsid w:val="00BF1375"/>
    <w:rsid w:val="00BF212A"/>
    <w:rsid w:val="00BF310F"/>
    <w:rsid w:val="00BF372C"/>
    <w:rsid w:val="00BF45C8"/>
    <w:rsid w:val="00C01649"/>
    <w:rsid w:val="00C01AE2"/>
    <w:rsid w:val="00C050C5"/>
    <w:rsid w:val="00C05C36"/>
    <w:rsid w:val="00C10A7D"/>
    <w:rsid w:val="00C11BF5"/>
    <w:rsid w:val="00C133BA"/>
    <w:rsid w:val="00C1431E"/>
    <w:rsid w:val="00C14FC7"/>
    <w:rsid w:val="00C173FB"/>
    <w:rsid w:val="00C175F0"/>
    <w:rsid w:val="00C176E7"/>
    <w:rsid w:val="00C17831"/>
    <w:rsid w:val="00C239EE"/>
    <w:rsid w:val="00C27448"/>
    <w:rsid w:val="00C31879"/>
    <w:rsid w:val="00C31EF9"/>
    <w:rsid w:val="00C34A7F"/>
    <w:rsid w:val="00C36E50"/>
    <w:rsid w:val="00C37063"/>
    <w:rsid w:val="00C420D5"/>
    <w:rsid w:val="00C502D3"/>
    <w:rsid w:val="00C50B39"/>
    <w:rsid w:val="00C50C2F"/>
    <w:rsid w:val="00C512FE"/>
    <w:rsid w:val="00C55032"/>
    <w:rsid w:val="00C55B54"/>
    <w:rsid w:val="00C606A0"/>
    <w:rsid w:val="00C63448"/>
    <w:rsid w:val="00C64DE9"/>
    <w:rsid w:val="00C71B58"/>
    <w:rsid w:val="00C73F60"/>
    <w:rsid w:val="00C747AD"/>
    <w:rsid w:val="00C77F85"/>
    <w:rsid w:val="00C80B97"/>
    <w:rsid w:val="00C81944"/>
    <w:rsid w:val="00C85B06"/>
    <w:rsid w:val="00C90634"/>
    <w:rsid w:val="00C9196B"/>
    <w:rsid w:val="00C949A2"/>
    <w:rsid w:val="00C949CE"/>
    <w:rsid w:val="00C95D00"/>
    <w:rsid w:val="00C96DC0"/>
    <w:rsid w:val="00C96E42"/>
    <w:rsid w:val="00CA0BF1"/>
    <w:rsid w:val="00CA0C6C"/>
    <w:rsid w:val="00CA4873"/>
    <w:rsid w:val="00CA5A6B"/>
    <w:rsid w:val="00CA7537"/>
    <w:rsid w:val="00CA7781"/>
    <w:rsid w:val="00CB347A"/>
    <w:rsid w:val="00CC0E3F"/>
    <w:rsid w:val="00CC16AA"/>
    <w:rsid w:val="00CC56A9"/>
    <w:rsid w:val="00CC584B"/>
    <w:rsid w:val="00CC5BDE"/>
    <w:rsid w:val="00CC73C6"/>
    <w:rsid w:val="00CC7A7D"/>
    <w:rsid w:val="00CD0126"/>
    <w:rsid w:val="00CD1F3E"/>
    <w:rsid w:val="00CD4344"/>
    <w:rsid w:val="00CD75F2"/>
    <w:rsid w:val="00CD78AB"/>
    <w:rsid w:val="00CE16CE"/>
    <w:rsid w:val="00CE463B"/>
    <w:rsid w:val="00CE4EBD"/>
    <w:rsid w:val="00CF079E"/>
    <w:rsid w:val="00CF0BA8"/>
    <w:rsid w:val="00CF31C8"/>
    <w:rsid w:val="00CF39F3"/>
    <w:rsid w:val="00CF443B"/>
    <w:rsid w:val="00CF544B"/>
    <w:rsid w:val="00CF5E51"/>
    <w:rsid w:val="00D01211"/>
    <w:rsid w:val="00D017CA"/>
    <w:rsid w:val="00D0434B"/>
    <w:rsid w:val="00D04B82"/>
    <w:rsid w:val="00D072D1"/>
    <w:rsid w:val="00D07457"/>
    <w:rsid w:val="00D0756E"/>
    <w:rsid w:val="00D1191D"/>
    <w:rsid w:val="00D11EF0"/>
    <w:rsid w:val="00D124DB"/>
    <w:rsid w:val="00D244E4"/>
    <w:rsid w:val="00D24B32"/>
    <w:rsid w:val="00D25611"/>
    <w:rsid w:val="00D27B31"/>
    <w:rsid w:val="00D33F1E"/>
    <w:rsid w:val="00D34403"/>
    <w:rsid w:val="00D366F4"/>
    <w:rsid w:val="00D41584"/>
    <w:rsid w:val="00D41739"/>
    <w:rsid w:val="00D454E0"/>
    <w:rsid w:val="00D45C44"/>
    <w:rsid w:val="00D513A1"/>
    <w:rsid w:val="00D51F1A"/>
    <w:rsid w:val="00D52ABE"/>
    <w:rsid w:val="00D53B19"/>
    <w:rsid w:val="00D54B0A"/>
    <w:rsid w:val="00D54C2B"/>
    <w:rsid w:val="00D55542"/>
    <w:rsid w:val="00D5783F"/>
    <w:rsid w:val="00D610D3"/>
    <w:rsid w:val="00D61631"/>
    <w:rsid w:val="00D624E9"/>
    <w:rsid w:val="00D65DB5"/>
    <w:rsid w:val="00D65EE4"/>
    <w:rsid w:val="00D6793C"/>
    <w:rsid w:val="00D67F6B"/>
    <w:rsid w:val="00D705DB"/>
    <w:rsid w:val="00D71AF6"/>
    <w:rsid w:val="00D74F8B"/>
    <w:rsid w:val="00D76E17"/>
    <w:rsid w:val="00D77E2F"/>
    <w:rsid w:val="00D80579"/>
    <w:rsid w:val="00D81BF7"/>
    <w:rsid w:val="00D83229"/>
    <w:rsid w:val="00D96F35"/>
    <w:rsid w:val="00D96FC2"/>
    <w:rsid w:val="00D9713C"/>
    <w:rsid w:val="00D97970"/>
    <w:rsid w:val="00DA51B0"/>
    <w:rsid w:val="00DA6CB1"/>
    <w:rsid w:val="00DA7228"/>
    <w:rsid w:val="00DA7C5F"/>
    <w:rsid w:val="00DB1B0B"/>
    <w:rsid w:val="00DB1C27"/>
    <w:rsid w:val="00DB4F44"/>
    <w:rsid w:val="00DB673A"/>
    <w:rsid w:val="00DC34D2"/>
    <w:rsid w:val="00DC59B8"/>
    <w:rsid w:val="00DC7C14"/>
    <w:rsid w:val="00DD1138"/>
    <w:rsid w:val="00DD35D7"/>
    <w:rsid w:val="00DD3601"/>
    <w:rsid w:val="00DD46A0"/>
    <w:rsid w:val="00DD7BE0"/>
    <w:rsid w:val="00DE0E86"/>
    <w:rsid w:val="00DE2473"/>
    <w:rsid w:val="00DE711F"/>
    <w:rsid w:val="00DE77C9"/>
    <w:rsid w:val="00DE7B54"/>
    <w:rsid w:val="00DF0658"/>
    <w:rsid w:val="00DF7208"/>
    <w:rsid w:val="00E002C2"/>
    <w:rsid w:val="00E0070B"/>
    <w:rsid w:val="00E01562"/>
    <w:rsid w:val="00E036E2"/>
    <w:rsid w:val="00E0560A"/>
    <w:rsid w:val="00E060A0"/>
    <w:rsid w:val="00E15A47"/>
    <w:rsid w:val="00E1634F"/>
    <w:rsid w:val="00E2318E"/>
    <w:rsid w:val="00E24455"/>
    <w:rsid w:val="00E25752"/>
    <w:rsid w:val="00E27759"/>
    <w:rsid w:val="00E27A88"/>
    <w:rsid w:val="00E316E4"/>
    <w:rsid w:val="00E33777"/>
    <w:rsid w:val="00E34B09"/>
    <w:rsid w:val="00E35622"/>
    <w:rsid w:val="00E356AD"/>
    <w:rsid w:val="00E37968"/>
    <w:rsid w:val="00E40BB0"/>
    <w:rsid w:val="00E42783"/>
    <w:rsid w:val="00E44946"/>
    <w:rsid w:val="00E45C96"/>
    <w:rsid w:val="00E479CD"/>
    <w:rsid w:val="00E47B94"/>
    <w:rsid w:val="00E52A08"/>
    <w:rsid w:val="00E54476"/>
    <w:rsid w:val="00E6000A"/>
    <w:rsid w:val="00E614F2"/>
    <w:rsid w:val="00E61565"/>
    <w:rsid w:val="00E63F5D"/>
    <w:rsid w:val="00E67D87"/>
    <w:rsid w:val="00E72CB0"/>
    <w:rsid w:val="00E7500D"/>
    <w:rsid w:val="00E82074"/>
    <w:rsid w:val="00E82F4D"/>
    <w:rsid w:val="00E856CD"/>
    <w:rsid w:val="00E85D1E"/>
    <w:rsid w:val="00E86FE1"/>
    <w:rsid w:val="00E87F69"/>
    <w:rsid w:val="00E92B1D"/>
    <w:rsid w:val="00E93029"/>
    <w:rsid w:val="00E94832"/>
    <w:rsid w:val="00E94B4B"/>
    <w:rsid w:val="00EA12E1"/>
    <w:rsid w:val="00EA209B"/>
    <w:rsid w:val="00EA6B97"/>
    <w:rsid w:val="00EA6C13"/>
    <w:rsid w:val="00EB0E35"/>
    <w:rsid w:val="00EB2A7D"/>
    <w:rsid w:val="00EB322C"/>
    <w:rsid w:val="00EB5AE8"/>
    <w:rsid w:val="00EC2114"/>
    <w:rsid w:val="00EC291D"/>
    <w:rsid w:val="00EC3794"/>
    <w:rsid w:val="00EC53E7"/>
    <w:rsid w:val="00EC57F9"/>
    <w:rsid w:val="00EC69AD"/>
    <w:rsid w:val="00EC7658"/>
    <w:rsid w:val="00EE0239"/>
    <w:rsid w:val="00EE3D11"/>
    <w:rsid w:val="00EE5A4F"/>
    <w:rsid w:val="00EF173E"/>
    <w:rsid w:val="00EF5855"/>
    <w:rsid w:val="00F00982"/>
    <w:rsid w:val="00F12981"/>
    <w:rsid w:val="00F21DF6"/>
    <w:rsid w:val="00F21E92"/>
    <w:rsid w:val="00F255A2"/>
    <w:rsid w:val="00F259F8"/>
    <w:rsid w:val="00F31DC3"/>
    <w:rsid w:val="00F31DF3"/>
    <w:rsid w:val="00F3531D"/>
    <w:rsid w:val="00F37D37"/>
    <w:rsid w:val="00F40795"/>
    <w:rsid w:val="00F407E6"/>
    <w:rsid w:val="00F41A0A"/>
    <w:rsid w:val="00F4613D"/>
    <w:rsid w:val="00F47983"/>
    <w:rsid w:val="00F5287F"/>
    <w:rsid w:val="00F52998"/>
    <w:rsid w:val="00F52A51"/>
    <w:rsid w:val="00F550A6"/>
    <w:rsid w:val="00F61214"/>
    <w:rsid w:val="00F61C5B"/>
    <w:rsid w:val="00F64E15"/>
    <w:rsid w:val="00F65512"/>
    <w:rsid w:val="00F65B32"/>
    <w:rsid w:val="00F6681E"/>
    <w:rsid w:val="00F6726B"/>
    <w:rsid w:val="00F73A0B"/>
    <w:rsid w:val="00F73E1E"/>
    <w:rsid w:val="00F7518C"/>
    <w:rsid w:val="00F77A48"/>
    <w:rsid w:val="00F801F6"/>
    <w:rsid w:val="00F82D80"/>
    <w:rsid w:val="00F83A1A"/>
    <w:rsid w:val="00F85D6D"/>
    <w:rsid w:val="00F85FB5"/>
    <w:rsid w:val="00F873E7"/>
    <w:rsid w:val="00F87D19"/>
    <w:rsid w:val="00F91991"/>
    <w:rsid w:val="00F92204"/>
    <w:rsid w:val="00F929C4"/>
    <w:rsid w:val="00F933E0"/>
    <w:rsid w:val="00FA0350"/>
    <w:rsid w:val="00FA0EBA"/>
    <w:rsid w:val="00FA29E0"/>
    <w:rsid w:val="00FA4D39"/>
    <w:rsid w:val="00FA64A0"/>
    <w:rsid w:val="00FA7917"/>
    <w:rsid w:val="00FB1D98"/>
    <w:rsid w:val="00FB3002"/>
    <w:rsid w:val="00FB31BE"/>
    <w:rsid w:val="00FC001A"/>
    <w:rsid w:val="00FC08AE"/>
    <w:rsid w:val="00FC300A"/>
    <w:rsid w:val="00FD073A"/>
    <w:rsid w:val="00FD1964"/>
    <w:rsid w:val="00FD7DF6"/>
    <w:rsid w:val="00FE4976"/>
    <w:rsid w:val="00FE503F"/>
    <w:rsid w:val="00FF0347"/>
    <w:rsid w:val="00FF3821"/>
    <w:rsid w:val="00FF399D"/>
    <w:rsid w:val="00FF53E5"/>
    <w:rsid w:val="00FF60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B9AEBD"/>
  <w15:docId w15:val="{FFF5635B-9BA7-405A-8B1A-A2A12DC34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420F"/>
    <w:pPr>
      <w:spacing w:before="120" w:after="120" w:line="360" w:lineRule="auto"/>
      <w:jc w:val="both"/>
    </w:pPr>
    <w:rPr>
      <w:rFonts w:ascii="Arial" w:hAnsi="Arial" w:cs="Arial"/>
      <w:sz w:val="24"/>
      <w:szCs w:val="24"/>
    </w:rPr>
  </w:style>
  <w:style w:type="paragraph" w:styleId="Heading1">
    <w:name w:val="heading 1"/>
    <w:basedOn w:val="Normal"/>
    <w:next w:val="Normal"/>
    <w:link w:val="Heading1Char"/>
    <w:uiPriority w:val="9"/>
    <w:qFormat/>
    <w:rsid w:val="005503BE"/>
    <w:pPr>
      <w:keepNext/>
      <w:keepLines/>
      <w:outlineLvl w:val="0"/>
    </w:pPr>
    <w:rPr>
      <w:rFonts w:eastAsiaTheme="majorEastAsia"/>
      <w:b/>
      <w:color w:val="2E74B5" w:themeColor="accent1" w:themeShade="BF"/>
      <w:sz w:val="32"/>
      <w:szCs w:val="32"/>
    </w:rPr>
  </w:style>
  <w:style w:type="paragraph" w:styleId="Heading2">
    <w:name w:val="heading 2"/>
    <w:basedOn w:val="Normal"/>
    <w:next w:val="Normal"/>
    <w:link w:val="Heading2Char"/>
    <w:uiPriority w:val="9"/>
    <w:unhideWhenUsed/>
    <w:qFormat/>
    <w:rsid w:val="005503BE"/>
    <w:pPr>
      <w:keepNext/>
      <w:keepLines/>
      <w:spacing w:before="40" w:after="0"/>
      <w:outlineLvl w:val="1"/>
    </w:pPr>
    <w:rPr>
      <w:rFonts w:eastAsiaTheme="majorEastAsia"/>
      <w:color w:val="2E74B5" w:themeColor="accent1" w:themeShade="BF"/>
      <w:sz w:val="32"/>
      <w:szCs w:val="32"/>
    </w:rPr>
  </w:style>
  <w:style w:type="paragraph" w:styleId="Heading3">
    <w:name w:val="heading 3"/>
    <w:basedOn w:val="Normal"/>
    <w:next w:val="Normal"/>
    <w:link w:val="Heading3Char"/>
    <w:uiPriority w:val="9"/>
    <w:unhideWhenUsed/>
    <w:qFormat/>
    <w:rsid w:val="005503BE"/>
    <w:pPr>
      <w:keepNext/>
      <w:keepLines/>
      <w:outlineLvl w:val="2"/>
    </w:pPr>
    <w:rPr>
      <w:rFonts w:eastAsiaTheme="majorEastAsia"/>
      <w:color w:val="2E74B5" w:themeColor="accent1" w:themeShade="BF"/>
    </w:rPr>
  </w:style>
  <w:style w:type="paragraph" w:styleId="Heading4">
    <w:name w:val="heading 4"/>
    <w:basedOn w:val="Normal"/>
    <w:next w:val="Normal"/>
    <w:link w:val="Heading4Char"/>
    <w:uiPriority w:val="9"/>
    <w:unhideWhenUsed/>
    <w:qFormat/>
    <w:rsid w:val="000F2D42"/>
    <w:pPr>
      <w:keepNext/>
      <w:keepLines/>
      <w:spacing w:before="40" w:after="0"/>
      <w:outlineLvl w:val="3"/>
    </w:pPr>
    <w:rPr>
      <w:rFonts w:eastAsiaTheme="majorEastAsia"/>
      <w:b/>
      <w:iCs/>
      <w:color w:val="2E74B5" w:themeColor="accent1" w:themeShade="BF"/>
    </w:rPr>
  </w:style>
  <w:style w:type="paragraph" w:styleId="Heading5">
    <w:name w:val="heading 5"/>
    <w:basedOn w:val="Normal"/>
    <w:next w:val="Normal"/>
    <w:link w:val="Heading5Char"/>
    <w:uiPriority w:val="9"/>
    <w:unhideWhenUsed/>
    <w:qFormat/>
    <w:rsid w:val="009F3905"/>
    <w:pPr>
      <w:keepNext/>
      <w:keepLines/>
      <w:spacing w:before="40" w:after="0"/>
      <w:outlineLvl w:val="4"/>
    </w:pPr>
    <w:rPr>
      <w:rFonts w:eastAsiaTheme="majorEastAsia"/>
      <w:i/>
      <w:color w:val="2E74B5" w:themeColor="accent1" w:themeShade="BF"/>
    </w:rPr>
  </w:style>
  <w:style w:type="paragraph" w:styleId="Heading6">
    <w:name w:val="heading 6"/>
    <w:basedOn w:val="Normal"/>
    <w:next w:val="Normal"/>
    <w:link w:val="Heading6Char"/>
    <w:uiPriority w:val="9"/>
    <w:unhideWhenUsed/>
    <w:qFormat/>
    <w:rsid w:val="00DD1138"/>
    <w:pPr>
      <w:outlineLvl w:val="5"/>
    </w:pPr>
    <w:rPr>
      <w:b/>
      <w:lang w:eastAsia="zh-CN"/>
    </w:rPr>
  </w:style>
  <w:style w:type="paragraph" w:styleId="Heading7">
    <w:name w:val="heading 7"/>
    <w:basedOn w:val="Normal"/>
    <w:next w:val="Normal"/>
    <w:link w:val="Heading7Char"/>
    <w:uiPriority w:val="9"/>
    <w:unhideWhenUsed/>
    <w:qFormat/>
    <w:rsid w:val="003F18EC"/>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03BE"/>
    <w:rPr>
      <w:rFonts w:ascii="Arial" w:eastAsiaTheme="majorEastAsia" w:hAnsi="Arial" w:cs="Arial"/>
      <w:b/>
      <w:color w:val="2E74B5" w:themeColor="accent1" w:themeShade="BF"/>
      <w:sz w:val="32"/>
      <w:szCs w:val="32"/>
    </w:rPr>
  </w:style>
  <w:style w:type="character" w:customStyle="1" w:styleId="Heading2Char">
    <w:name w:val="Heading 2 Char"/>
    <w:basedOn w:val="DefaultParagraphFont"/>
    <w:link w:val="Heading2"/>
    <w:uiPriority w:val="9"/>
    <w:rsid w:val="005503BE"/>
    <w:rPr>
      <w:rFonts w:ascii="Arial" w:eastAsiaTheme="majorEastAsia" w:hAnsi="Arial" w:cs="Arial"/>
      <w:color w:val="2E74B5" w:themeColor="accent1" w:themeShade="BF"/>
      <w:sz w:val="32"/>
      <w:szCs w:val="32"/>
    </w:rPr>
  </w:style>
  <w:style w:type="character" w:customStyle="1" w:styleId="Heading3Char">
    <w:name w:val="Heading 3 Char"/>
    <w:basedOn w:val="DefaultParagraphFont"/>
    <w:link w:val="Heading3"/>
    <w:uiPriority w:val="9"/>
    <w:rsid w:val="005503BE"/>
    <w:rPr>
      <w:rFonts w:ascii="Arial" w:eastAsiaTheme="majorEastAsia" w:hAnsi="Arial" w:cs="Arial"/>
      <w:color w:val="2E74B5" w:themeColor="accent1" w:themeShade="BF"/>
      <w:sz w:val="24"/>
      <w:szCs w:val="24"/>
    </w:rPr>
  </w:style>
  <w:style w:type="character" w:customStyle="1" w:styleId="Heading4Char">
    <w:name w:val="Heading 4 Char"/>
    <w:basedOn w:val="DefaultParagraphFont"/>
    <w:link w:val="Heading4"/>
    <w:uiPriority w:val="9"/>
    <w:rsid w:val="000F2D42"/>
    <w:rPr>
      <w:rFonts w:ascii="Arial" w:eastAsiaTheme="majorEastAsia" w:hAnsi="Arial" w:cs="Arial"/>
      <w:b/>
      <w:iCs/>
      <w:color w:val="2E74B5" w:themeColor="accent1" w:themeShade="BF"/>
      <w:sz w:val="24"/>
      <w:szCs w:val="24"/>
    </w:rPr>
  </w:style>
  <w:style w:type="character" w:customStyle="1" w:styleId="Heading5Char">
    <w:name w:val="Heading 5 Char"/>
    <w:basedOn w:val="DefaultParagraphFont"/>
    <w:link w:val="Heading5"/>
    <w:uiPriority w:val="9"/>
    <w:rsid w:val="009F3905"/>
    <w:rPr>
      <w:rFonts w:ascii="Arial" w:eastAsiaTheme="majorEastAsia" w:hAnsi="Arial" w:cs="Arial"/>
      <w:i/>
      <w:color w:val="2E74B5" w:themeColor="accent1" w:themeShade="BF"/>
      <w:sz w:val="24"/>
      <w:szCs w:val="24"/>
    </w:rPr>
  </w:style>
  <w:style w:type="character" w:customStyle="1" w:styleId="Heading6Char">
    <w:name w:val="Heading 6 Char"/>
    <w:basedOn w:val="DefaultParagraphFont"/>
    <w:link w:val="Heading6"/>
    <w:uiPriority w:val="9"/>
    <w:rsid w:val="00DD1138"/>
    <w:rPr>
      <w:rFonts w:ascii="Arial" w:hAnsi="Arial" w:cs="Arial"/>
      <w:b/>
      <w:sz w:val="24"/>
      <w:szCs w:val="24"/>
      <w:lang w:eastAsia="zh-CN"/>
    </w:rPr>
  </w:style>
  <w:style w:type="character" w:styleId="Hyperlink">
    <w:name w:val="Hyperlink"/>
    <w:basedOn w:val="DefaultParagraphFont"/>
    <w:uiPriority w:val="99"/>
    <w:rsid w:val="0049081E"/>
    <w:rPr>
      <w:rFonts w:cs="Times New Roman"/>
      <w:color w:val="0000FF"/>
      <w:u w:val="single"/>
    </w:rPr>
  </w:style>
  <w:style w:type="paragraph" w:styleId="TOC1">
    <w:name w:val="toc 1"/>
    <w:basedOn w:val="Normal"/>
    <w:next w:val="Normal"/>
    <w:autoRedefine/>
    <w:uiPriority w:val="39"/>
    <w:unhideWhenUsed/>
    <w:rsid w:val="00D96FC2"/>
    <w:pPr>
      <w:tabs>
        <w:tab w:val="right" w:leader="dot" w:pos="9016"/>
      </w:tabs>
    </w:pPr>
    <w:rPr>
      <w:rFonts w:eastAsiaTheme="minorEastAsia"/>
      <w:i/>
      <w:noProof/>
      <w:color w:val="0070C0"/>
      <w:lang w:eastAsia="zh-CN"/>
    </w:rPr>
  </w:style>
  <w:style w:type="paragraph" w:styleId="TOC3">
    <w:name w:val="toc 3"/>
    <w:basedOn w:val="Normal"/>
    <w:next w:val="Normal"/>
    <w:autoRedefine/>
    <w:uiPriority w:val="39"/>
    <w:unhideWhenUsed/>
    <w:rsid w:val="0049081E"/>
    <w:pPr>
      <w:spacing w:after="100"/>
      <w:ind w:left="440"/>
    </w:pPr>
    <w:rPr>
      <w:rFonts w:eastAsiaTheme="minorEastAsia"/>
      <w:lang w:eastAsia="zh-CN"/>
    </w:rPr>
  </w:style>
  <w:style w:type="paragraph" w:styleId="ListParagraph">
    <w:name w:val="List Paragraph"/>
    <w:basedOn w:val="Normal"/>
    <w:uiPriority w:val="34"/>
    <w:qFormat/>
    <w:rsid w:val="0049081E"/>
    <w:pPr>
      <w:ind w:left="720"/>
      <w:contextualSpacing/>
    </w:pPr>
  </w:style>
  <w:style w:type="paragraph" w:styleId="TOC2">
    <w:name w:val="toc 2"/>
    <w:basedOn w:val="Normal"/>
    <w:next w:val="Normal"/>
    <w:autoRedefine/>
    <w:uiPriority w:val="39"/>
    <w:unhideWhenUsed/>
    <w:rsid w:val="00085FE3"/>
    <w:pPr>
      <w:tabs>
        <w:tab w:val="right" w:leader="dot" w:pos="9016"/>
      </w:tabs>
      <w:spacing w:after="0" w:line="240" w:lineRule="auto"/>
    </w:pPr>
    <w:rPr>
      <w:rFonts w:eastAsiaTheme="minorEastAsia" w:cs="Times New Roman"/>
      <w:noProof/>
      <w:color w:val="2E74B5" w:themeColor="accent1" w:themeShade="BF"/>
      <w:lang w:eastAsia="zh-CN"/>
    </w:rPr>
  </w:style>
  <w:style w:type="paragraph" w:styleId="BodyText">
    <w:name w:val="Body Text"/>
    <w:basedOn w:val="Normal"/>
    <w:link w:val="BodyTextChar"/>
    <w:rsid w:val="00EB2A7D"/>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pPr>
    <w:rPr>
      <w:rFonts w:ascii="Times Roman" w:eastAsia="Times New Roman" w:hAnsi="Times Roman" w:cs="Times New Roman"/>
      <w:i/>
      <w:spacing w:val="-3"/>
      <w:szCs w:val="20"/>
    </w:rPr>
  </w:style>
  <w:style w:type="character" w:customStyle="1" w:styleId="BodyTextChar">
    <w:name w:val="Body Text Char"/>
    <w:basedOn w:val="DefaultParagraphFont"/>
    <w:link w:val="BodyText"/>
    <w:rsid w:val="00EB2A7D"/>
    <w:rPr>
      <w:rFonts w:ascii="Times Roman" w:eastAsia="Times New Roman" w:hAnsi="Times Roman" w:cs="Times New Roman"/>
      <w:i/>
      <w:spacing w:val="-3"/>
      <w:sz w:val="24"/>
      <w:szCs w:val="20"/>
    </w:rPr>
  </w:style>
  <w:style w:type="character" w:styleId="FollowedHyperlink">
    <w:name w:val="FollowedHyperlink"/>
    <w:basedOn w:val="DefaultParagraphFont"/>
    <w:uiPriority w:val="99"/>
    <w:semiHidden/>
    <w:unhideWhenUsed/>
    <w:rsid w:val="00EB2A7D"/>
    <w:rPr>
      <w:color w:val="954F72" w:themeColor="followedHyperlink"/>
      <w:u w:val="single"/>
    </w:rPr>
  </w:style>
  <w:style w:type="paragraph" w:customStyle="1" w:styleId="Default">
    <w:name w:val="Default"/>
    <w:rsid w:val="00144289"/>
    <w:pPr>
      <w:autoSpaceDE w:val="0"/>
      <w:autoSpaceDN w:val="0"/>
      <w:adjustRightInd w:val="0"/>
      <w:spacing w:after="0" w:line="240" w:lineRule="auto"/>
    </w:pPr>
    <w:rPr>
      <w:rFonts w:ascii="Calibri" w:hAnsi="Calibri" w:cs="Calibri"/>
      <w:color w:val="000000"/>
      <w:sz w:val="24"/>
      <w:szCs w:val="24"/>
    </w:rPr>
  </w:style>
  <w:style w:type="character" w:styleId="CommentReference">
    <w:name w:val="annotation reference"/>
    <w:basedOn w:val="DefaultParagraphFont"/>
    <w:uiPriority w:val="99"/>
    <w:semiHidden/>
    <w:unhideWhenUsed/>
    <w:rsid w:val="00F407E6"/>
    <w:rPr>
      <w:sz w:val="16"/>
      <w:szCs w:val="16"/>
    </w:rPr>
  </w:style>
  <w:style w:type="paragraph" w:styleId="CommentText">
    <w:name w:val="annotation text"/>
    <w:basedOn w:val="Normal"/>
    <w:link w:val="CommentTextChar"/>
    <w:uiPriority w:val="99"/>
    <w:unhideWhenUsed/>
    <w:rsid w:val="00F407E6"/>
    <w:pPr>
      <w:spacing w:line="240" w:lineRule="auto"/>
    </w:pPr>
    <w:rPr>
      <w:sz w:val="20"/>
      <w:szCs w:val="20"/>
    </w:rPr>
  </w:style>
  <w:style w:type="character" w:customStyle="1" w:styleId="CommentTextChar">
    <w:name w:val="Comment Text Char"/>
    <w:basedOn w:val="DefaultParagraphFont"/>
    <w:link w:val="CommentText"/>
    <w:uiPriority w:val="99"/>
    <w:rsid w:val="00F407E6"/>
    <w:rPr>
      <w:sz w:val="20"/>
      <w:szCs w:val="20"/>
    </w:rPr>
  </w:style>
  <w:style w:type="paragraph" w:styleId="CommentSubject">
    <w:name w:val="annotation subject"/>
    <w:basedOn w:val="CommentText"/>
    <w:next w:val="CommentText"/>
    <w:link w:val="CommentSubjectChar"/>
    <w:uiPriority w:val="99"/>
    <w:semiHidden/>
    <w:unhideWhenUsed/>
    <w:rsid w:val="00F407E6"/>
    <w:rPr>
      <w:b/>
      <w:bCs/>
    </w:rPr>
  </w:style>
  <w:style w:type="character" w:customStyle="1" w:styleId="CommentSubjectChar">
    <w:name w:val="Comment Subject Char"/>
    <w:basedOn w:val="CommentTextChar"/>
    <w:link w:val="CommentSubject"/>
    <w:uiPriority w:val="99"/>
    <w:semiHidden/>
    <w:rsid w:val="00F407E6"/>
    <w:rPr>
      <w:b/>
      <w:bCs/>
      <w:sz w:val="20"/>
      <w:szCs w:val="20"/>
    </w:rPr>
  </w:style>
  <w:style w:type="paragraph" w:styleId="BalloonText">
    <w:name w:val="Balloon Text"/>
    <w:basedOn w:val="Normal"/>
    <w:link w:val="BalloonTextChar"/>
    <w:uiPriority w:val="99"/>
    <w:semiHidden/>
    <w:unhideWhenUsed/>
    <w:rsid w:val="00F407E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07E6"/>
    <w:rPr>
      <w:rFonts w:ascii="Segoe UI" w:hAnsi="Segoe UI" w:cs="Segoe UI"/>
      <w:sz w:val="18"/>
      <w:szCs w:val="18"/>
    </w:rPr>
  </w:style>
  <w:style w:type="character" w:customStyle="1" w:styleId="ng-binding">
    <w:name w:val="ng-binding"/>
    <w:basedOn w:val="DefaultParagraphFont"/>
    <w:rsid w:val="007D7A59"/>
  </w:style>
  <w:style w:type="character" w:customStyle="1" w:styleId="cit-auth">
    <w:name w:val="cit-auth"/>
    <w:basedOn w:val="DefaultParagraphFont"/>
    <w:rsid w:val="005D5AD1"/>
  </w:style>
  <w:style w:type="character" w:customStyle="1" w:styleId="cit-name-surname">
    <w:name w:val="cit-name-surname"/>
    <w:basedOn w:val="DefaultParagraphFont"/>
    <w:rsid w:val="005D5AD1"/>
  </w:style>
  <w:style w:type="character" w:customStyle="1" w:styleId="cit-name-given-names">
    <w:name w:val="cit-name-given-names"/>
    <w:basedOn w:val="DefaultParagraphFont"/>
    <w:rsid w:val="005D5AD1"/>
  </w:style>
  <w:style w:type="character" w:customStyle="1" w:styleId="cit-etal">
    <w:name w:val="cit-etal"/>
    <w:basedOn w:val="DefaultParagraphFont"/>
    <w:rsid w:val="005D5AD1"/>
  </w:style>
  <w:style w:type="character" w:styleId="HTMLCite">
    <w:name w:val="HTML Cite"/>
    <w:basedOn w:val="DefaultParagraphFont"/>
    <w:uiPriority w:val="99"/>
    <w:semiHidden/>
    <w:unhideWhenUsed/>
    <w:rsid w:val="005D5AD1"/>
    <w:rPr>
      <w:i/>
      <w:iCs/>
    </w:rPr>
  </w:style>
  <w:style w:type="character" w:customStyle="1" w:styleId="cit-article-title">
    <w:name w:val="cit-article-title"/>
    <w:basedOn w:val="DefaultParagraphFont"/>
    <w:rsid w:val="005D5AD1"/>
  </w:style>
  <w:style w:type="character" w:customStyle="1" w:styleId="cit-pub-date">
    <w:name w:val="cit-pub-date"/>
    <w:basedOn w:val="DefaultParagraphFont"/>
    <w:rsid w:val="005D5AD1"/>
  </w:style>
  <w:style w:type="character" w:customStyle="1" w:styleId="cit-vol">
    <w:name w:val="cit-vol"/>
    <w:basedOn w:val="DefaultParagraphFont"/>
    <w:rsid w:val="005D5AD1"/>
  </w:style>
  <w:style w:type="character" w:customStyle="1" w:styleId="cit-fpage">
    <w:name w:val="cit-fpage"/>
    <w:basedOn w:val="DefaultParagraphFont"/>
    <w:rsid w:val="005D5AD1"/>
  </w:style>
  <w:style w:type="character" w:customStyle="1" w:styleId="cit-lpage">
    <w:name w:val="cit-lpage"/>
    <w:basedOn w:val="DefaultParagraphFont"/>
    <w:rsid w:val="005D5AD1"/>
  </w:style>
  <w:style w:type="paragraph" w:customStyle="1" w:styleId="Heading31">
    <w:name w:val="Heading 31"/>
    <w:rsid w:val="004369D9"/>
    <w:pPr>
      <w:suppressAutoHyphens/>
      <w:spacing w:after="0" w:line="240" w:lineRule="auto"/>
    </w:pPr>
    <w:rPr>
      <w:rFonts w:ascii="Courier" w:eastAsia="Times New Roman" w:hAnsi="Courier" w:cs="Times New Roman"/>
      <w:b/>
      <w:sz w:val="24"/>
      <w:szCs w:val="20"/>
      <w:lang w:val="en-US"/>
    </w:rPr>
  </w:style>
  <w:style w:type="paragraph" w:customStyle="1" w:styleId="RightPar1">
    <w:name w:val="Right Par 1"/>
    <w:rsid w:val="004369D9"/>
    <w:pPr>
      <w:tabs>
        <w:tab w:val="left" w:pos="-720"/>
        <w:tab w:val="left" w:pos="0"/>
        <w:tab w:val="decimal" w:pos="720"/>
      </w:tabs>
      <w:suppressAutoHyphens/>
      <w:spacing w:after="0" w:line="240" w:lineRule="auto"/>
      <w:ind w:left="720"/>
    </w:pPr>
    <w:rPr>
      <w:rFonts w:ascii="Times Roman" w:eastAsia="Times New Roman" w:hAnsi="Times Roman" w:cs="Times New Roman"/>
      <w:sz w:val="24"/>
      <w:szCs w:val="20"/>
      <w:lang w:val="en-US"/>
    </w:rPr>
  </w:style>
  <w:style w:type="paragraph" w:styleId="Header">
    <w:name w:val="header"/>
    <w:basedOn w:val="Normal"/>
    <w:link w:val="HeaderChar"/>
    <w:uiPriority w:val="99"/>
    <w:unhideWhenUsed/>
    <w:rsid w:val="004369D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369D9"/>
  </w:style>
  <w:style w:type="paragraph" w:styleId="Footer">
    <w:name w:val="footer"/>
    <w:basedOn w:val="Normal"/>
    <w:link w:val="FooterChar"/>
    <w:uiPriority w:val="99"/>
    <w:unhideWhenUsed/>
    <w:rsid w:val="004369D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369D9"/>
  </w:style>
  <w:style w:type="table" w:styleId="TableGrid">
    <w:name w:val="Table Grid"/>
    <w:basedOn w:val="TableNormal"/>
    <w:uiPriority w:val="39"/>
    <w:rsid w:val="00614B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ersonname">
    <w:name w:val="person_name"/>
    <w:basedOn w:val="DefaultParagraphFont"/>
    <w:rsid w:val="003A015F"/>
  </w:style>
  <w:style w:type="character" w:styleId="Emphasis">
    <w:name w:val="Emphasis"/>
    <w:basedOn w:val="DefaultParagraphFont"/>
    <w:uiPriority w:val="20"/>
    <w:qFormat/>
    <w:rsid w:val="003A015F"/>
    <w:rPr>
      <w:i/>
      <w:iCs/>
    </w:rPr>
  </w:style>
  <w:style w:type="character" w:styleId="IntenseReference">
    <w:name w:val="Intense Reference"/>
    <w:basedOn w:val="DefaultParagraphFont"/>
    <w:uiPriority w:val="32"/>
    <w:qFormat/>
    <w:rsid w:val="00A56CBE"/>
    <w:rPr>
      <w:b/>
      <w:bCs/>
      <w:smallCaps/>
      <w:color w:val="5B9BD5" w:themeColor="accent1"/>
      <w:spacing w:val="5"/>
    </w:rPr>
  </w:style>
  <w:style w:type="paragraph" w:styleId="NoSpacing">
    <w:name w:val="No Spacing"/>
    <w:basedOn w:val="Normal"/>
    <w:uiPriority w:val="1"/>
    <w:rsid w:val="005503BE"/>
    <w:rPr>
      <w:b/>
    </w:rPr>
  </w:style>
  <w:style w:type="paragraph" w:styleId="NormalWeb">
    <w:name w:val="Normal (Web)"/>
    <w:basedOn w:val="Normal"/>
    <w:uiPriority w:val="99"/>
    <w:unhideWhenUsed/>
    <w:rsid w:val="00A24005"/>
    <w:pPr>
      <w:spacing w:before="100" w:beforeAutospacing="1" w:after="100" w:afterAutospacing="1" w:line="240" w:lineRule="auto"/>
    </w:pPr>
    <w:rPr>
      <w:rFonts w:ascii="Times New Roman" w:eastAsia="Times New Roman" w:hAnsi="Times New Roman" w:cs="Times New Roman"/>
      <w:lang w:eastAsia="en-GB"/>
    </w:rPr>
  </w:style>
  <w:style w:type="character" w:styleId="Strong">
    <w:name w:val="Strong"/>
    <w:basedOn w:val="DefaultParagraphFont"/>
    <w:uiPriority w:val="22"/>
    <w:qFormat/>
    <w:rsid w:val="002E6205"/>
    <w:rPr>
      <w:b/>
      <w:bCs/>
    </w:rPr>
  </w:style>
  <w:style w:type="character" w:styleId="IntenseEmphasis">
    <w:name w:val="Intense Emphasis"/>
    <w:basedOn w:val="DefaultParagraphFont"/>
    <w:uiPriority w:val="21"/>
    <w:qFormat/>
    <w:rsid w:val="00B74187"/>
    <w:rPr>
      <w:i/>
      <w:iCs/>
      <w:color w:val="5B9BD5" w:themeColor="accent1"/>
    </w:rPr>
  </w:style>
  <w:style w:type="character" w:customStyle="1" w:styleId="cit-source">
    <w:name w:val="cit-source"/>
    <w:basedOn w:val="DefaultParagraphFont"/>
    <w:rsid w:val="006B796F"/>
  </w:style>
  <w:style w:type="character" w:customStyle="1" w:styleId="cit-comment">
    <w:name w:val="cit-comment"/>
    <w:basedOn w:val="DefaultParagraphFont"/>
    <w:rsid w:val="006B796F"/>
  </w:style>
  <w:style w:type="character" w:customStyle="1" w:styleId="highwire-citation-authors">
    <w:name w:val="highwire-citation-authors"/>
    <w:basedOn w:val="DefaultParagraphFont"/>
    <w:rsid w:val="006B796F"/>
  </w:style>
  <w:style w:type="character" w:customStyle="1" w:styleId="highwire-citation-author">
    <w:name w:val="highwire-citation-author"/>
    <w:basedOn w:val="DefaultParagraphFont"/>
    <w:rsid w:val="006B796F"/>
  </w:style>
  <w:style w:type="character" w:customStyle="1" w:styleId="highwire-cite-metadata-journal">
    <w:name w:val="highwire-cite-metadata-journal"/>
    <w:basedOn w:val="DefaultParagraphFont"/>
    <w:rsid w:val="006B796F"/>
  </w:style>
  <w:style w:type="character" w:customStyle="1" w:styleId="highwire-cite-metadata-date">
    <w:name w:val="highwire-cite-metadata-date"/>
    <w:basedOn w:val="DefaultParagraphFont"/>
    <w:rsid w:val="006B796F"/>
  </w:style>
  <w:style w:type="character" w:customStyle="1" w:styleId="highwire-cite-metadata-volume">
    <w:name w:val="highwire-cite-metadata-volume"/>
    <w:basedOn w:val="DefaultParagraphFont"/>
    <w:rsid w:val="006B796F"/>
  </w:style>
  <w:style w:type="character" w:customStyle="1" w:styleId="highwire-cite-metadata-issue">
    <w:name w:val="highwire-cite-metadata-issue"/>
    <w:basedOn w:val="DefaultParagraphFont"/>
    <w:rsid w:val="006B796F"/>
  </w:style>
  <w:style w:type="character" w:customStyle="1" w:styleId="highwire-cite-metadata-pages">
    <w:name w:val="highwire-cite-metadata-pages"/>
    <w:basedOn w:val="DefaultParagraphFont"/>
    <w:rsid w:val="006B796F"/>
  </w:style>
  <w:style w:type="character" w:customStyle="1" w:styleId="highwire-cite-metadata-doi">
    <w:name w:val="highwire-cite-metadata-doi"/>
    <w:basedOn w:val="DefaultParagraphFont"/>
    <w:rsid w:val="006B796F"/>
  </w:style>
  <w:style w:type="character" w:customStyle="1" w:styleId="label">
    <w:name w:val="label"/>
    <w:basedOn w:val="DefaultParagraphFont"/>
    <w:rsid w:val="006B796F"/>
  </w:style>
  <w:style w:type="paragraph" w:styleId="Quote">
    <w:name w:val="Quote"/>
    <w:basedOn w:val="Normal"/>
    <w:next w:val="Normal"/>
    <w:link w:val="QuoteChar"/>
    <w:uiPriority w:val="29"/>
    <w:qFormat/>
    <w:rsid w:val="00D0434B"/>
    <w:pPr>
      <w:tabs>
        <w:tab w:val="left" w:pos="8080"/>
      </w:tabs>
      <w:spacing w:before="200" w:line="240" w:lineRule="auto"/>
      <w:ind w:left="709" w:right="521"/>
    </w:pPr>
    <w:rPr>
      <w:rFonts w:ascii="Times New Roman" w:hAnsi="Times New Roman" w:cs="Times New Roman"/>
      <w:i/>
      <w:iCs/>
      <w:lang w:val="en-AU"/>
    </w:rPr>
  </w:style>
  <w:style w:type="character" w:customStyle="1" w:styleId="QuoteChar">
    <w:name w:val="Quote Char"/>
    <w:basedOn w:val="DefaultParagraphFont"/>
    <w:link w:val="Quote"/>
    <w:uiPriority w:val="29"/>
    <w:rsid w:val="00D0434B"/>
    <w:rPr>
      <w:rFonts w:ascii="Times New Roman" w:hAnsi="Times New Roman" w:cs="Times New Roman"/>
      <w:i/>
      <w:iCs/>
      <w:lang w:val="en-AU"/>
    </w:rPr>
  </w:style>
  <w:style w:type="character" w:customStyle="1" w:styleId="EndNoteBibliographyChar">
    <w:name w:val="EndNote Bibliography Char"/>
    <w:basedOn w:val="DefaultParagraphFont"/>
    <w:link w:val="EndNoteBibliography"/>
    <w:locked/>
    <w:rsid w:val="00D0434B"/>
    <w:rPr>
      <w:rFonts w:ascii="Calibri" w:hAnsi="Calibri" w:cs="Calibri"/>
      <w:noProof/>
      <w:szCs w:val="24"/>
      <w:lang w:val="en-US"/>
    </w:rPr>
  </w:style>
  <w:style w:type="paragraph" w:customStyle="1" w:styleId="EndNoteBibliography">
    <w:name w:val="EndNote Bibliography"/>
    <w:basedOn w:val="Normal"/>
    <w:link w:val="EndNoteBibliographyChar"/>
    <w:rsid w:val="00D0434B"/>
    <w:pPr>
      <w:spacing w:after="0" w:line="240" w:lineRule="auto"/>
    </w:pPr>
    <w:rPr>
      <w:rFonts w:ascii="Calibri" w:hAnsi="Calibri" w:cs="Calibri"/>
      <w:noProof/>
      <w:sz w:val="22"/>
      <w:lang w:val="en-US"/>
    </w:rPr>
  </w:style>
  <w:style w:type="paragraph" w:styleId="Revision">
    <w:name w:val="Revision"/>
    <w:hidden/>
    <w:uiPriority w:val="99"/>
    <w:semiHidden/>
    <w:rsid w:val="00865382"/>
    <w:pPr>
      <w:spacing w:after="0" w:line="240" w:lineRule="auto"/>
    </w:pPr>
  </w:style>
  <w:style w:type="character" w:customStyle="1" w:styleId="tooltip">
    <w:name w:val="tooltip"/>
    <w:basedOn w:val="DefaultParagraphFont"/>
    <w:rsid w:val="00096546"/>
  </w:style>
  <w:style w:type="character" w:customStyle="1" w:styleId="abstract-sub-heading">
    <w:name w:val="abstract-sub-heading"/>
    <w:basedOn w:val="DefaultParagraphFont"/>
    <w:rsid w:val="00096546"/>
  </w:style>
  <w:style w:type="character" w:customStyle="1" w:styleId="article-doi">
    <w:name w:val="article-doi"/>
    <w:basedOn w:val="DefaultParagraphFont"/>
    <w:rsid w:val="00096546"/>
  </w:style>
  <w:style w:type="paragraph" w:customStyle="1" w:styleId="trendmd-widget-list-item">
    <w:name w:val="trendmd-widget-list-item"/>
    <w:basedOn w:val="Normal"/>
    <w:rsid w:val="00096546"/>
    <w:pPr>
      <w:spacing w:before="100" w:beforeAutospacing="1" w:after="100" w:afterAutospacing="1" w:line="240" w:lineRule="auto"/>
    </w:pPr>
    <w:rPr>
      <w:rFonts w:ascii="Times New Roman" w:eastAsia="Times New Roman" w:hAnsi="Times New Roman" w:cs="Times New Roman"/>
      <w:lang w:eastAsia="en-GB"/>
    </w:rPr>
  </w:style>
  <w:style w:type="character" w:customStyle="1" w:styleId="jsauthors">
    <w:name w:val="js_authors"/>
    <w:basedOn w:val="DefaultParagraphFont"/>
    <w:rsid w:val="00096546"/>
  </w:style>
  <w:style w:type="character" w:customStyle="1" w:styleId="jspublicationdate">
    <w:name w:val="js_publication_date"/>
    <w:basedOn w:val="DefaultParagraphFont"/>
    <w:rsid w:val="00096546"/>
  </w:style>
  <w:style w:type="character" w:customStyle="1" w:styleId="trendmd-widget-brandrecommended">
    <w:name w:val="trendmd-widget-brand__recommended"/>
    <w:basedOn w:val="DefaultParagraphFont"/>
    <w:rsid w:val="00096546"/>
  </w:style>
  <w:style w:type="paragraph" w:customStyle="1" w:styleId="abstract-paragraph">
    <w:name w:val="abstract-paragraph"/>
    <w:basedOn w:val="Normal"/>
    <w:rsid w:val="00096546"/>
    <w:pPr>
      <w:spacing w:before="100" w:beforeAutospacing="1" w:after="100" w:afterAutospacing="1" w:line="240" w:lineRule="auto"/>
    </w:pPr>
    <w:rPr>
      <w:rFonts w:ascii="Times New Roman" w:eastAsia="Times New Roman" w:hAnsi="Times New Roman" w:cs="Times New Roman"/>
      <w:lang w:eastAsia="en-GB"/>
    </w:rPr>
  </w:style>
  <w:style w:type="character" w:customStyle="1" w:styleId="FootnoteTextChar">
    <w:name w:val="Footnote Text Char"/>
    <w:basedOn w:val="DefaultParagraphFont"/>
    <w:link w:val="FootnoteText"/>
    <w:uiPriority w:val="99"/>
    <w:semiHidden/>
    <w:rsid w:val="00096546"/>
    <w:rPr>
      <w:sz w:val="20"/>
      <w:szCs w:val="20"/>
    </w:rPr>
  </w:style>
  <w:style w:type="paragraph" w:styleId="FootnoteText">
    <w:name w:val="footnote text"/>
    <w:basedOn w:val="Normal"/>
    <w:link w:val="FootnoteTextChar"/>
    <w:uiPriority w:val="99"/>
    <w:semiHidden/>
    <w:unhideWhenUsed/>
    <w:rsid w:val="00096546"/>
    <w:pPr>
      <w:spacing w:after="0" w:line="240" w:lineRule="auto"/>
    </w:pPr>
    <w:rPr>
      <w:sz w:val="20"/>
      <w:szCs w:val="20"/>
    </w:rPr>
  </w:style>
  <w:style w:type="character" w:customStyle="1" w:styleId="hlfld-contribauthor">
    <w:name w:val="hlfld-contribauthor"/>
    <w:basedOn w:val="DefaultParagraphFont"/>
    <w:rsid w:val="00096546"/>
  </w:style>
  <w:style w:type="character" w:customStyle="1" w:styleId="nlmgiven-names">
    <w:name w:val="nlm_given-names"/>
    <w:basedOn w:val="DefaultParagraphFont"/>
    <w:rsid w:val="00096546"/>
  </w:style>
  <w:style w:type="character" w:customStyle="1" w:styleId="nlmyear">
    <w:name w:val="nlm_year"/>
    <w:basedOn w:val="DefaultParagraphFont"/>
    <w:rsid w:val="00096546"/>
  </w:style>
  <w:style w:type="character" w:customStyle="1" w:styleId="nlmarticle-title">
    <w:name w:val="nlm_article-title"/>
    <w:basedOn w:val="DefaultParagraphFont"/>
    <w:rsid w:val="00096546"/>
  </w:style>
  <w:style w:type="character" w:customStyle="1" w:styleId="nlmfpage">
    <w:name w:val="nlm_fpage"/>
    <w:basedOn w:val="DefaultParagraphFont"/>
    <w:rsid w:val="00096546"/>
  </w:style>
  <w:style w:type="character" w:customStyle="1" w:styleId="nlmlpage">
    <w:name w:val="nlm_lpage"/>
    <w:basedOn w:val="DefaultParagraphFont"/>
    <w:rsid w:val="00096546"/>
  </w:style>
  <w:style w:type="character" w:customStyle="1" w:styleId="nlmpub-id">
    <w:name w:val="nlm_pub-id"/>
    <w:basedOn w:val="DefaultParagraphFont"/>
    <w:rsid w:val="00096546"/>
  </w:style>
  <w:style w:type="character" w:customStyle="1" w:styleId="xlinks-container">
    <w:name w:val="xlinks-container"/>
    <w:basedOn w:val="DefaultParagraphFont"/>
    <w:rsid w:val="00096546"/>
  </w:style>
  <w:style w:type="character" w:customStyle="1" w:styleId="googlescholar-container">
    <w:name w:val="googlescholar-container"/>
    <w:basedOn w:val="DefaultParagraphFont"/>
    <w:rsid w:val="00096546"/>
  </w:style>
  <w:style w:type="character" w:customStyle="1" w:styleId="authors">
    <w:name w:val="authors"/>
    <w:basedOn w:val="DefaultParagraphFont"/>
    <w:rsid w:val="00096546"/>
  </w:style>
  <w:style w:type="character" w:customStyle="1" w:styleId="Date1">
    <w:name w:val="Date1"/>
    <w:basedOn w:val="DefaultParagraphFont"/>
    <w:rsid w:val="00096546"/>
  </w:style>
  <w:style w:type="character" w:customStyle="1" w:styleId="arttitle">
    <w:name w:val="art_title"/>
    <w:basedOn w:val="DefaultParagraphFont"/>
    <w:rsid w:val="00096546"/>
  </w:style>
  <w:style w:type="character" w:customStyle="1" w:styleId="serialtitle">
    <w:name w:val="serial_title"/>
    <w:basedOn w:val="DefaultParagraphFont"/>
    <w:rsid w:val="00096546"/>
  </w:style>
  <w:style w:type="character" w:customStyle="1" w:styleId="volumeissue">
    <w:name w:val="volume_issue"/>
    <w:basedOn w:val="DefaultParagraphFont"/>
    <w:rsid w:val="00096546"/>
  </w:style>
  <w:style w:type="character" w:customStyle="1" w:styleId="pagerange">
    <w:name w:val="page_range"/>
    <w:basedOn w:val="DefaultParagraphFont"/>
    <w:rsid w:val="00096546"/>
  </w:style>
  <w:style w:type="character" w:customStyle="1" w:styleId="doilink">
    <w:name w:val="doi_link"/>
    <w:basedOn w:val="DefaultParagraphFont"/>
    <w:rsid w:val="00096546"/>
  </w:style>
  <w:style w:type="character" w:customStyle="1" w:styleId="tooltiptext">
    <w:name w:val="tooltiptext"/>
    <w:basedOn w:val="DefaultParagraphFont"/>
    <w:rsid w:val="00096546"/>
  </w:style>
  <w:style w:type="character" w:customStyle="1" w:styleId="xref-sep">
    <w:name w:val="xref-sep"/>
    <w:basedOn w:val="DefaultParagraphFont"/>
    <w:rsid w:val="00096546"/>
  </w:style>
  <w:style w:type="paragraph" w:customStyle="1" w:styleId="c-article-referencesitem">
    <w:name w:val="c-article-references__item"/>
    <w:basedOn w:val="Normal"/>
    <w:rsid w:val="00096546"/>
    <w:pPr>
      <w:spacing w:before="100" w:beforeAutospacing="1" w:after="100" w:afterAutospacing="1" w:line="240" w:lineRule="auto"/>
    </w:pPr>
    <w:rPr>
      <w:rFonts w:ascii="Times New Roman" w:eastAsia="Times New Roman" w:hAnsi="Times New Roman" w:cs="Times New Roman"/>
      <w:lang w:eastAsia="en-GB"/>
    </w:rPr>
  </w:style>
  <w:style w:type="paragraph" w:customStyle="1" w:styleId="c-article-referencestext">
    <w:name w:val="c-article-references__text"/>
    <w:basedOn w:val="Normal"/>
    <w:rsid w:val="00096546"/>
    <w:pPr>
      <w:spacing w:before="100" w:beforeAutospacing="1" w:after="100" w:afterAutospacing="1" w:line="240" w:lineRule="auto"/>
    </w:pPr>
    <w:rPr>
      <w:rFonts w:ascii="Times New Roman" w:eastAsia="Times New Roman" w:hAnsi="Times New Roman" w:cs="Times New Roman"/>
      <w:lang w:eastAsia="en-GB"/>
    </w:rPr>
  </w:style>
  <w:style w:type="paragraph" w:customStyle="1" w:styleId="c-article-referenceslinks">
    <w:name w:val="c-article-references__links"/>
    <w:basedOn w:val="Normal"/>
    <w:rsid w:val="00096546"/>
    <w:pPr>
      <w:spacing w:before="100" w:beforeAutospacing="1" w:after="100" w:afterAutospacing="1" w:line="240" w:lineRule="auto"/>
    </w:pPr>
    <w:rPr>
      <w:rFonts w:ascii="Times New Roman" w:eastAsia="Times New Roman" w:hAnsi="Times New Roman" w:cs="Times New Roman"/>
      <w:lang w:eastAsia="en-GB"/>
    </w:rPr>
  </w:style>
  <w:style w:type="character" w:customStyle="1" w:styleId="c-article-referencescounter">
    <w:name w:val="c-article-references__counter"/>
    <w:basedOn w:val="DefaultParagraphFont"/>
    <w:rsid w:val="00096546"/>
  </w:style>
  <w:style w:type="character" w:customStyle="1" w:styleId="ref-journal">
    <w:name w:val="ref-journal"/>
    <w:basedOn w:val="DefaultParagraphFont"/>
    <w:rsid w:val="00096546"/>
  </w:style>
  <w:style w:type="character" w:customStyle="1" w:styleId="ref-vol">
    <w:name w:val="ref-vol"/>
    <w:basedOn w:val="DefaultParagraphFont"/>
    <w:rsid w:val="00096546"/>
  </w:style>
  <w:style w:type="character" w:customStyle="1" w:styleId="nowrap">
    <w:name w:val="nowrap"/>
    <w:basedOn w:val="DefaultParagraphFont"/>
    <w:rsid w:val="00096546"/>
  </w:style>
  <w:style w:type="character" w:customStyle="1" w:styleId="cit-publ-name">
    <w:name w:val="cit-publ-name"/>
    <w:basedOn w:val="DefaultParagraphFont"/>
    <w:rsid w:val="00096546"/>
  </w:style>
  <w:style w:type="character" w:customStyle="1" w:styleId="cit-publ-loc">
    <w:name w:val="cit-publ-loc"/>
    <w:basedOn w:val="DefaultParagraphFont"/>
    <w:rsid w:val="00096546"/>
  </w:style>
  <w:style w:type="character" w:customStyle="1" w:styleId="nlm-surname">
    <w:name w:val="nlm-surname"/>
    <w:basedOn w:val="DefaultParagraphFont"/>
    <w:rsid w:val="00096546"/>
  </w:style>
  <w:style w:type="character" w:customStyle="1" w:styleId="highwire-cite-metadata-year">
    <w:name w:val="highwire-cite-metadata-year"/>
    <w:basedOn w:val="DefaultParagraphFont"/>
    <w:rsid w:val="00096546"/>
  </w:style>
  <w:style w:type="character" w:customStyle="1" w:styleId="highwire-cite-metadata-elocation-id">
    <w:name w:val="highwire-cite-metadata-elocation-id"/>
    <w:basedOn w:val="DefaultParagraphFont"/>
    <w:rsid w:val="00096546"/>
  </w:style>
  <w:style w:type="paragraph" w:customStyle="1" w:styleId="EndNoteBibliographyTitle">
    <w:name w:val="EndNote Bibliography Title"/>
    <w:basedOn w:val="Normal"/>
    <w:link w:val="EndNoteBibliographyTitleChar"/>
    <w:rsid w:val="00D96F35"/>
    <w:pPr>
      <w:spacing w:after="0"/>
      <w:jc w:val="center"/>
    </w:pPr>
    <w:rPr>
      <w:rFonts w:ascii="Calibri" w:hAnsi="Calibri" w:cs="Calibri"/>
      <w:noProof/>
      <w:sz w:val="22"/>
      <w:lang w:val="en-US"/>
    </w:rPr>
  </w:style>
  <w:style w:type="character" w:customStyle="1" w:styleId="EndNoteBibliographyTitleChar">
    <w:name w:val="EndNote Bibliography Title Char"/>
    <w:basedOn w:val="DefaultParagraphFont"/>
    <w:link w:val="EndNoteBibliographyTitle"/>
    <w:rsid w:val="00D96F35"/>
    <w:rPr>
      <w:rFonts w:ascii="Calibri" w:hAnsi="Calibri" w:cs="Calibri"/>
      <w:noProof/>
      <w:szCs w:val="24"/>
      <w:lang w:val="en-US"/>
    </w:rPr>
  </w:style>
  <w:style w:type="character" w:customStyle="1" w:styleId="normaltextrun">
    <w:name w:val="normaltextrun"/>
    <w:basedOn w:val="DefaultParagraphFont"/>
    <w:rsid w:val="00C50B39"/>
  </w:style>
  <w:style w:type="character" w:customStyle="1" w:styleId="FootnoteTextChar1">
    <w:name w:val="Footnote Text Char1"/>
    <w:basedOn w:val="DefaultParagraphFont"/>
    <w:uiPriority w:val="99"/>
    <w:semiHidden/>
    <w:rsid w:val="008D6E0D"/>
    <w:rPr>
      <w:rFonts w:ascii="Arial" w:hAnsi="Arial" w:cs="Arial"/>
      <w:sz w:val="20"/>
      <w:szCs w:val="20"/>
    </w:rPr>
  </w:style>
  <w:style w:type="character" w:customStyle="1" w:styleId="Heading7Char">
    <w:name w:val="Heading 7 Char"/>
    <w:basedOn w:val="DefaultParagraphFont"/>
    <w:link w:val="Heading7"/>
    <w:uiPriority w:val="9"/>
    <w:rsid w:val="003F18EC"/>
    <w:rPr>
      <w:rFonts w:asciiTheme="majorHAnsi" w:eastAsiaTheme="majorEastAsia" w:hAnsiTheme="majorHAnsi" w:cstheme="majorBidi"/>
      <w:i/>
      <w:iCs/>
      <w:color w:val="1F4D78" w:themeColor="accent1" w:themeShade="7F"/>
      <w:sz w:val="24"/>
      <w:szCs w:val="24"/>
    </w:rPr>
  </w:style>
  <w:style w:type="paragraph" w:styleId="TOCHeading">
    <w:name w:val="TOC Heading"/>
    <w:basedOn w:val="Heading1"/>
    <w:next w:val="Normal"/>
    <w:uiPriority w:val="39"/>
    <w:unhideWhenUsed/>
    <w:qFormat/>
    <w:rsid w:val="00AF0FBB"/>
    <w:pPr>
      <w:spacing w:before="240" w:after="0" w:line="259" w:lineRule="auto"/>
      <w:jc w:val="left"/>
      <w:outlineLvl w:val="9"/>
    </w:pPr>
    <w:rPr>
      <w:rFonts w:asciiTheme="majorHAnsi" w:hAnsiTheme="majorHAnsi" w:cstheme="majorBidi"/>
      <w:b w:val="0"/>
      <w:lang w:val="en-US"/>
    </w:rPr>
  </w:style>
  <w:style w:type="paragraph" w:styleId="TOC4">
    <w:name w:val="toc 4"/>
    <w:basedOn w:val="Normal"/>
    <w:next w:val="Normal"/>
    <w:autoRedefine/>
    <w:uiPriority w:val="39"/>
    <w:unhideWhenUsed/>
    <w:rsid w:val="0093223B"/>
    <w:pPr>
      <w:spacing w:before="0" w:after="100" w:line="259" w:lineRule="auto"/>
      <w:ind w:left="660"/>
      <w:jc w:val="left"/>
    </w:pPr>
    <w:rPr>
      <w:rFonts w:asciiTheme="minorHAnsi" w:eastAsiaTheme="minorEastAsia" w:hAnsiTheme="minorHAnsi" w:cstheme="minorBidi"/>
      <w:sz w:val="22"/>
      <w:szCs w:val="22"/>
      <w:lang w:eastAsia="en-GB"/>
    </w:rPr>
  </w:style>
  <w:style w:type="paragraph" w:styleId="TOC5">
    <w:name w:val="toc 5"/>
    <w:basedOn w:val="Normal"/>
    <w:next w:val="Normal"/>
    <w:autoRedefine/>
    <w:uiPriority w:val="39"/>
    <w:unhideWhenUsed/>
    <w:rsid w:val="0093223B"/>
    <w:pPr>
      <w:spacing w:before="0" w:after="100" w:line="259" w:lineRule="auto"/>
      <w:ind w:left="880"/>
      <w:jc w:val="left"/>
    </w:pPr>
    <w:rPr>
      <w:rFonts w:asciiTheme="minorHAnsi" w:eastAsiaTheme="minorEastAsia" w:hAnsiTheme="minorHAnsi" w:cstheme="minorBidi"/>
      <w:sz w:val="22"/>
      <w:szCs w:val="22"/>
      <w:lang w:eastAsia="en-GB"/>
    </w:rPr>
  </w:style>
  <w:style w:type="paragraph" w:styleId="TOC6">
    <w:name w:val="toc 6"/>
    <w:basedOn w:val="Normal"/>
    <w:next w:val="Normal"/>
    <w:autoRedefine/>
    <w:uiPriority w:val="39"/>
    <w:unhideWhenUsed/>
    <w:rsid w:val="0093223B"/>
    <w:pPr>
      <w:spacing w:before="0" w:after="100" w:line="259" w:lineRule="auto"/>
      <w:ind w:left="1100"/>
      <w:jc w:val="left"/>
    </w:pPr>
    <w:rPr>
      <w:rFonts w:asciiTheme="minorHAnsi" w:eastAsiaTheme="minorEastAsia" w:hAnsiTheme="minorHAnsi" w:cstheme="minorBidi"/>
      <w:sz w:val="22"/>
      <w:szCs w:val="22"/>
      <w:lang w:eastAsia="en-GB"/>
    </w:rPr>
  </w:style>
  <w:style w:type="paragraph" w:styleId="TOC7">
    <w:name w:val="toc 7"/>
    <w:basedOn w:val="Normal"/>
    <w:next w:val="Normal"/>
    <w:autoRedefine/>
    <w:uiPriority w:val="39"/>
    <w:unhideWhenUsed/>
    <w:rsid w:val="0093223B"/>
    <w:pPr>
      <w:spacing w:before="0" w:after="100" w:line="259" w:lineRule="auto"/>
      <w:ind w:left="1320"/>
      <w:jc w:val="left"/>
    </w:pPr>
    <w:rPr>
      <w:rFonts w:asciiTheme="minorHAnsi" w:eastAsiaTheme="minorEastAsia" w:hAnsiTheme="minorHAnsi" w:cstheme="minorBidi"/>
      <w:sz w:val="22"/>
      <w:szCs w:val="22"/>
      <w:lang w:eastAsia="en-GB"/>
    </w:rPr>
  </w:style>
  <w:style w:type="paragraph" w:styleId="TOC8">
    <w:name w:val="toc 8"/>
    <w:basedOn w:val="Normal"/>
    <w:next w:val="Normal"/>
    <w:autoRedefine/>
    <w:uiPriority w:val="39"/>
    <w:unhideWhenUsed/>
    <w:rsid w:val="0093223B"/>
    <w:pPr>
      <w:spacing w:before="0" w:after="100" w:line="259" w:lineRule="auto"/>
      <w:ind w:left="1540"/>
      <w:jc w:val="left"/>
    </w:pPr>
    <w:rPr>
      <w:rFonts w:asciiTheme="minorHAnsi" w:eastAsiaTheme="minorEastAsia" w:hAnsiTheme="minorHAnsi" w:cstheme="minorBidi"/>
      <w:sz w:val="22"/>
      <w:szCs w:val="22"/>
      <w:lang w:eastAsia="en-GB"/>
    </w:rPr>
  </w:style>
  <w:style w:type="paragraph" w:styleId="TOC9">
    <w:name w:val="toc 9"/>
    <w:basedOn w:val="Normal"/>
    <w:next w:val="Normal"/>
    <w:autoRedefine/>
    <w:uiPriority w:val="39"/>
    <w:unhideWhenUsed/>
    <w:rsid w:val="0093223B"/>
    <w:pPr>
      <w:spacing w:before="0" w:after="100" w:line="259" w:lineRule="auto"/>
      <w:ind w:left="1760"/>
      <w:jc w:val="left"/>
    </w:pPr>
    <w:rPr>
      <w:rFonts w:asciiTheme="minorHAnsi" w:eastAsiaTheme="minorEastAsia" w:hAnsiTheme="minorHAnsi" w:cstheme="minorBid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031956">
      <w:bodyDiv w:val="1"/>
      <w:marLeft w:val="0"/>
      <w:marRight w:val="0"/>
      <w:marTop w:val="0"/>
      <w:marBottom w:val="0"/>
      <w:divBdr>
        <w:top w:val="none" w:sz="0" w:space="0" w:color="auto"/>
        <w:left w:val="none" w:sz="0" w:space="0" w:color="auto"/>
        <w:bottom w:val="none" w:sz="0" w:space="0" w:color="auto"/>
        <w:right w:val="none" w:sz="0" w:space="0" w:color="auto"/>
      </w:divBdr>
    </w:div>
    <w:div w:id="447312277">
      <w:bodyDiv w:val="1"/>
      <w:marLeft w:val="0"/>
      <w:marRight w:val="0"/>
      <w:marTop w:val="0"/>
      <w:marBottom w:val="0"/>
      <w:divBdr>
        <w:top w:val="none" w:sz="0" w:space="0" w:color="auto"/>
        <w:left w:val="none" w:sz="0" w:space="0" w:color="auto"/>
        <w:bottom w:val="none" w:sz="0" w:space="0" w:color="auto"/>
        <w:right w:val="none" w:sz="0" w:space="0" w:color="auto"/>
      </w:divBdr>
    </w:div>
    <w:div w:id="492646912">
      <w:bodyDiv w:val="1"/>
      <w:marLeft w:val="0"/>
      <w:marRight w:val="0"/>
      <w:marTop w:val="0"/>
      <w:marBottom w:val="0"/>
      <w:divBdr>
        <w:top w:val="none" w:sz="0" w:space="0" w:color="auto"/>
        <w:left w:val="none" w:sz="0" w:space="0" w:color="auto"/>
        <w:bottom w:val="none" w:sz="0" w:space="0" w:color="auto"/>
        <w:right w:val="none" w:sz="0" w:space="0" w:color="auto"/>
      </w:divBdr>
    </w:div>
    <w:div w:id="645476880">
      <w:bodyDiv w:val="1"/>
      <w:marLeft w:val="0"/>
      <w:marRight w:val="0"/>
      <w:marTop w:val="0"/>
      <w:marBottom w:val="0"/>
      <w:divBdr>
        <w:top w:val="none" w:sz="0" w:space="0" w:color="auto"/>
        <w:left w:val="none" w:sz="0" w:space="0" w:color="auto"/>
        <w:bottom w:val="none" w:sz="0" w:space="0" w:color="auto"/>
        <w:right w:val="none" w:sz="0" w:space="0" w:color="auto"/>
      </w:divBdr>
    </w:div>
    <w:div w:id="675112353">
      <w:bodyDiv w:val="1"/>
      <w:marLeft w:val="0"/>
      <w:marRight w:val="0"/>
      <w:marTop w:val="0"/>
      <w:marBottom w:val="0"/>
      <w:divBdr>
        <w:top w:val="none" w:sz="0" w:space="0" w:color="auto"/>
        <w:left w:val="none" w:sz="0" w:space="0" w:color="auto"/>
        <w:bottom w:val="none" w:sz="0" w:space="0" w:color="auto"/>
        <w:right w:val="none" w:sz="0" w:space="0" w:color="auto"/>
      </w:divBdr>
    </w:div>
    <w:div w:id="909735370">
      <w:bodyDiv w:val="1"/>
      <w:marLeft w:val="0"/>
      <w:marRight w:val="0"/>
      <w:marTop w:val="0"/>
      <w:marBottom w:val="0"/>
      <w:divBdr>
        <w:top w:val="none" w:sz="0" w:space="0" w:color="auto"/>
        <w:left w:val="none" w:sz="0" w:space="0" w:color="auto"/>
        <w:bottom w:val="none" w:sz="0" w:space="0" w:color="auto"/>
        <w:right w:val="none" w:sz="0" w:space="0" w:color="auto"/>
      </w:divBdr>
    </w:div>
    <w:div w:id="980693634">
      <w:bodyDiv w:val="1"/>
      <w:marLeft w:val="0"/>
      <w:marRight w:val="0"/>
      <w:marTop w:val="0"/>
      <w:marBottom w:val="0"/>
      <w:divBdr>
        <w:top w:val="none" w:sz="0" w:space="0" w:color="auto"/>
        <w:left w:val="none" w:sz="0" w:space="0" w:color="auto"/>
        <w:bottom w:val="none" w:sz="0" w:space="0" w:color="auto"/>
        <w:right w:val="none" w:sz="0" w:space="0" w:color="auto"/>
      </w:divBdr>
    </w:div>
    <w:div w:id="1102531773">
      <w:bodyDiv w:val="1"/>
      <w:marLeft w:val="0"/>
      <w:marRight w:val="0"/>
      <w:marTop w:val="0"/>
      <w:marBottom w:val="0"/>
      <w:divBdr>
        <w:top w:val="none" w:sz="0" w:space="0" w:color="auto"/>
        <w:left w:val="none" w:sz="0" w:space="0" w:color="auto"/>
        <w:bottom w:val="none" w:sz="0" w:space="0" w:color="auto"/>
        <w:right w:val="none" w:sz="0" w:space="0" w:color="auto"/>
      </w:divBdr>
    </w:div>
    <w:div w:id="1447315181">
      <w:bodyDiv w:val="1"/>
      <w:marLeft w:val="0"/>
      <w:marRight w:val="0"/>
      <w:marTop w:val="0"/>
      <w:marBottom w:val="0"/>
      <w:divBdr>
        <w:top w:val="none" w:sz="0" w:space="0" w:color="auto"/>
        <w:left w:val="none" w:sz="0" w:space="0" w:color="auto"/>
        <w:bottom w:val="none" w:sz="0" w:space="0" w:color="auto"/>
        <w:right w:val="none" w:sz="0" w:space="0" w:color="auto"/>
      </w:divBdr>
    </w:div>
    <w:div w:id="1448962273">
      <w:bodyDiv w:val="1"/>
      <w:marLeft w:val="0"/>
      <w:marRight w:val="0"/>
      <w:marTop w:val="0"/>
      <w:marBottom w:val="0"/>
      <w:divBdr>
        <w:top w:val="none" w:sz="0" w:space="0" w:color="auto"/>
        <w:left w:val="none" w:sz="0" w:space="0" w:color="auto"/>
        <w:bottom w:val="none" w:sz="0" w:space="0" w:color="auto"/>
        <w:right w:val="none" w:sz="0" w:space="0" w:color="auto"/>
      </w:divBdr>
    </w:div>
    <w:div w:id="1630821694">
      <w:bodyDiv w:val="1"/>
      <w:marLeft w:val="0"/>
      <w:marRight w:val="0"/>
      <w:marTop w:val="0"/>
      <w:marBottom w:val="0"/>
      <w:divBdr>
        <w:top w:val="none" w:sz="0" w:space="0" w:color="auto"/>
        <w:left w:val="none" w:sz="0" w:space="0" w:color="auto"/>
        <w:bottom w:val="none" w:sz="0" w:space="0" w:color="auto"/>
        <w:right w:val="none" w:sz="0" w:space="0" w:color="auto"/>
      </w:divBdr>
    </w:div>
    <w:div w:id="1639265735">
      <w:bodyDiv w:val="1"/>
      <w:marLeft w:val="0"/>
      <w:marRight w:val="0"/>
      <w:marTop w:val="0"/>
      <w:marBottom w:val="0"/>
      <w:divBdr>
        <w:top w:val="none" w:sz="0" w:space="0" w:color="auto"/>
        <w:left w:val="none" w:sz="0" w:space="0" w:color="auto"/>
        <w:bottom w:val="none" w:sz="0" w:space="0" w:color="auto"/>
        <w:right w:val="none" w:sz="0" w:space="0" w:color="auto"/>
      </w:divBdr>
    </w:div>
    <w:div w:id="1682665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3F46D077191524789927868CF947692" ma:contentTypeVersion="14" ma:contentTypeDescription="Create a new document." ma:contentTypeScope="" ma:versionID="502973287d251cd27310c14fcf18256f">
  <xsd:schema xmlns:xsd="http://www.w3.org/2001/XMLSchema" xmlns:xs="http://www.w3.org/2001/XMLSchema" xmlns:p="http://schemas.microsoft.com/office/2006/metadata/properties" xmlns:ns3="adcfa805-e237-4af0-86e0-efffb5656f00" xmlns:ns4="2bb55023-286f-46d7-8b8e-5a79189d33e9" targetNamespace="http://schemas.microsoft.com/office/2006/metadata/properties" ma:root="true" ma:fieldsID="1968f2b2f212102a638067275a70bac0" ns3:_="" ns4:_="">
    <xsd:import namespace="adcfa805-e237-4af0-86e0-efffb5656f00"/>
    <xsd:import namespace="2bb55023-286f-46d7-8b8e-5a79189d33e9"/>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cfa805-e237-4af0-86e0-efffb5656f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bb55023-286f-46d7-8b8e-5a79189d33e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90D622-E8D0-474B-B66E-73D80CABBDA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661A02B-A90F-4132-B4E1-2CF740E428AC}">
  <ds:schemaRefs>
    <ds:schemaRef ds:uri="http://schemas.microsoft.com/sharepoint/v3/contenttype/forms"/>
  </ds:schemaRefs>
</ds:datastoreItem>
</file>

<file path=customXml/itemProps3.xml><?xml version="1.0" encoding="utf-8"?>
<ds:datastoreItem xmlns:ds="http://schemas.openxmlformats.org/officeDocument/2006/customXml" ds:itemID="{15FF3ADB-1575-4E4E-94C1-68D380334F86}">
  <ds:schemaRefs>
    <ds:schemaRef ds:uri="http://schemas.openxmlformats.org/officeDocument/2006/bibliography"/>
  </ds:schemaRefs>
</ds:datastoreItem>
</file>

<file path=customXml/itemProps4.xml><?xml version="1.0" encoding="utf-8"?>
<ds:datastoreItem xmlns:ds="http://schemas.openxmlformats.org/officeDocument/2006/customXml" ds:itemID="{759EAD7A-9F82-49B5-8BD1-8CD32E5200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cfa805-e237-4af0-86e0-efffb5656f00"/>
    <ds:schemaRef ds:uri="2bb55023-286f-46d7-8b8e-5a79189d33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9</Pages>
  <Words>4524</Words>
  <Characters>24115</Characters>
  <Application>Microsoft Office Word</Application>
  <DocSecurity>0</DocSecurity>
  <Lines>574</Lines>
  <Paragraphs>275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Catherine Pope</dc:creator>
  <cp:lastModifiedBy>Euan Notley</cp:lastModifiedBy>
  <cp:revision>5</cp:revision>
  <cp:lastPrinted>2022-03-24T12:49:00Z</cp:lastPrinted>
  <dcterms:created xsi:type="dcterms:W3CDTF">2022-06-06T13:40:00Z</dcterms:created>
  <dcterms:modified xsi:type="dcterms:W3CDTF">2022-06-06T13:51:00Z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0x01010043F46D077191524789927868CF947692</vt:lpwstr>
  </property>
</Properties>
</file>